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1B59C" w14:textId="21838BB7" w:rsidR="00890528" w:rsidRPr="00445F4D" w:rsidRDefault="00AC5127" w:rsidP="00CE5C34">
      <w:pPr>
        <w:tabs>
          <w:tab w:val="right" w:pos="2284"/>
        </w:tabs>
        <w:spacing w:after="0" w:line="240" w:lineRule="auto"/>
        <w:rPr>
          <w:b/>
        </w:rPr>
      </w:pPr>
      <w:r w:rsidRPr="004C7E33">
        <w:rPr>
          <w:b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31C0380" wp14:editId="14CF3A6E">
            <wp:simplePos x="0" y="0"/>
            <wp:positionH relativeFrom="column">
              <wp:posOffset>4114800</wp:posOffset>
            </wp:positionH>
            <wp:positionV relativeFrom="paragraph">
              <wp:posOffset>-428625</wp:posOffset>
            </wp:positionV>
            <wp:extent cx="1162050" cy="5810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iness Wes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E33">
        <w:rPr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FE8E469" wp14:editId="4E93BD3A">
            <wp:simplePos x="0" y="0"/>
            <wp:positionH relativeFrom="column">
              <wp:posOffset>5521960</wp:posOffset>
            </wp:positionH>
            <wp:positionV relativeFrom="paragraph">
              <wp:posOffset>-571500</wp:posOffset>
            </wp:positionV>
            <wp:extent cx="711835" cy="7239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BD7" w:rsidRPr="004C7E33"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3BB277B" wp14:editId="78909A46">
            <wp:simplePos x="0" y="0"/>
            <wp:positionH relativeFrom="column">
              <wp:posOffset>-695325</wp:posOffset>
            </wp:positionH>
            <wp:positionV relativeFrom="paragraph">
              <wp:posOffset>-647700</wp:posOffset>
            </wp:positionV>
            <wp:extent cx="2138045" cy="990600"/>
            <wp:effectExtent l="0" t="0" r="0" b="0"/>
            <wp:wrapSquare wrapText="bothSides"/>
            <wp:docPr id="8" name="Picture 2" descr="C:\Users\brphls1\AppData\Local\Microsoft\Windows\Temporary Internet Files\Content.Outlook\DJREQII8\Thrive logo_digital RGB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brphls1\AppData\Local\Microsoft\Windows\Temporary Internet Files\Content.Outlook\DJREQII8\Thrive logo_digital RGB (2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9906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A11" w:rsidRPr="004C7E33">
        <w:rPr>
          <w:b/>
        </w:rPr>
        <w:t xml:space="preserve">                  </w:t>
      </w:r>
      <w:r w:rsidR="00BF0EA2" w:rsidRPr="004C7E33">
        <w:rPr>
          <w:b/>
        </w:rPr>
        <w:t xml:space="preserve"> </w:t>
      </w:r>
      <w:r w:rsidR="00B70BD7" w:rsidRPr="004C7E33">
        <w:rPr>
          <w:b/>
        </w:rPr>
        <w:tab/>
      </w:r>
    </w:p>
    <w:p w14:paraId="5E3C165E" w14:textId="495393D3" w:rsidR="00B70BD7" w:rsidRPr="007E57D4" w:rsidRDefault="007E57D4" w:rsidP="007E57D4">
      <w:pPr>
        <w:tabs>
          <w:tab w:val="right" w:pos="2284"/>
        </w:tabs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</w:t>
      </w:r>
      <w:r w:rsidR="00B70BD7" w:rsidRPr="007E57D4">
        <w:rPr>
          <w:b/>
          <w:sz w:val="24"/>
        </w:rPr>
        <w:t xml:space="preserve">Thriving at Work </w:t>
      </w:r>
      <w:r w:rsidR="00774A5F" w:rsidRPr="007E57D4">
        <w:rPr>
          <w:b/>
          <w:sz w:val="24"/>
        </w:rPr>
        <w:t>Bristol</w:t>
      </w:r>
      <w:r w:rsidR="00890528" w:rsidRPr="007E57D4">
        <w:rPr>
          <w:b/>
          <w:sz w:val="24"/>
        </w:rPr>
        <w:t xml:space="preserve"> overview</w:t>
      </w:r>
    </w:p>
    <w:p w14:paraId="15A0E8A0" w14:textId="25D4318C" w:rsidR="00B70BD7" w:rsidRPr="007E57D4" w:rsidRDefault="00AC5127" w:rsidP="007E57D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November </w:t>
      </w:r>
      <w:bookmarkStart w:id="0" w:name="_GoBack"/>
      <w:bookmarkEnd w:id="0"/>
      <w:r w:rsidR="00B70BD7" w:rsidRPr="007E57D4">
        <w:rPr>
          <w:b/>
          <w:sz w:val="24"/>
        </w:rPr>
        <w:t>2019</w:t>
      </w:r>
    </w:p>
    <w:p w14:paraId="42330092" w14:textId="0E6B60F1" w:rsidR="00B70BD7" w:rsidRPr="004C7E33" w:rsidRDefault="00B70BD7" w:rsidP="00CE5C34">
      <w:pPr>
        <w:spacing w:after="0" w:line="240" w:lineRule="auto"/>
        <w:rPr>
          <w:b/>
        </w:rPr>
      </w:pPr>
    </w:p>
    <w:p w14:paraId="4527556B" w14:textId="77777777" w:rsidR="00B96EFC" w:rsidRPr="004C7E33" w:rsidRDefault="00B96EFC" w:rsidP="00CE5C34">
      <w:pPr>
        <w:spacing w:after="0" w:line="240" w:lineRule="auto"/>
        <w:rPr>
          <w:b/>
        </w:rPr>
      </w:pPr>
    </w:p>
    <w:p w14:paraId="1104C5A9" w14:textId="6917E463" w:rsidR="00040309" w:rsidRPr="004C7E33" w:rsidRDefault="0081054C" w:rsidP="00CE5C34">
      <w:pPr>
        <w:pStyle w:val="ListParagraph"/>
        <w:numPr>
          <w:ilvl w:val="0"/>
          <w:numId w:val="9"/>
        </w:numPr>
        <w:spacing w:after="0" w:line="240" w:lineRule="auto"/>
        <w:rPr>
          <w:b/>
          <w:u w:val="single"/>
        </w:rPr>
      </w:pPr>
      <w:r w:rsidRPr="004C7E33">
        <w:rPr>
          <w:b/>
          <w:u w:val="single"/>
        </w:rPr>
        <w:t>Background</w:t>
      </w:r>
    </w:p>
    <w:p w14:paraId="7F1FAB6C" w14:textId="77777777" w:rsidR="00987A18" w:rsidRPr="004C7E33" w:rsidRDefault="00987A18" w:rsidP="00CE5C34">
      <w:pPr>
        <w:spacing w:after="0" w:line="240" w:lineRule="auto"/>
        <w:jc w:val="center"/>
        <w:rPr>
          <w:b/>
        </w:rPr>
      </w:pPr>
    </w:p>
    <w:p w14:paraId="09620799" w14:textId="23B37453" w:rsidR="001C5984" w:rsidRPr="004C7E33" w:rsidRDefault="00774A5F" w:rsidP="00CE5C34">
      <w:pPr>
        <w:spacing w:after="0" w:line="240" w:lineRule="auto"/>
        <w:rPr>
          <w:rFonts w:cs="Arial"/>
          <w:shd w:val="clear" w:color="auto" w:fill="FFFFFF"/>
        </w:rPr>
      </w:pPr>
      <w:r w:rsidRPr="004C7E33">
        <w:t>‘</w:t>
      </w:r>
      <w:r w:rsidR="00040309" w:rsidRPr="004C7E33">
        <w:t>Thrive Bristol</w:t>
      </w:r>
      <w:r w:rsidRPr="004C7E33">
        <w:t>’</w:t>
      </w:r>
      <w:r w:rsidR="00586F3A">
        <w:t xml:space="preserve"> is our city’s</w:t>
      </w:r>
      <w:r w:rsidR="00040309" w:rsidRPr="004C7E33">
        <w:t xml:space="preserve"> ten year programme to</w:t>
      </w:r>
      <w:r w:rsidR="0043356D">
        <w:t xml:space="preserve"> improve mental health and wellbeing, with a f</w:t>
      </w:r>
      <w:r w:rsidR="00C312EE" w:rsidRPr="004C7E33">
        <w:rPr>
          <w:rFonts w:cs="Arial"/>
          <w:shd w:val="clear" w:color="auto" w:fill="FFFFFF"/>
        </w:rPr>
        <w:t>ocus</w:t>
      </w:r>
      <w:r w:rsidR="0043356D">
        <w:rPr>
          <w:rFonts w:cs="Arial"/>
          <w:shd w:val="clear" w:color="auto" w:fill="FFFFFF"/>
        </w:rPr>
        <w:t xml:space="preserve"> on how different parts of our city – such as our c</w:t>
      </w:r>
      <w:r w:rsidR="00B05591">
        <w:rPr>
          <w:rFonts w:cs="Arial"/>
          <w:shd w:val="clear" w:color="auto" w:fill="FFFFFF"/>
        </w:rPr>
        <w:t xml:space="preserve">ommunities, our places of </w:t>
      </w:r>
      <w:r w:rsidR="000B65E1" w:rsidRPr="004C7E33">
        <w:rPr>
          <w:rFonts w:cs="Arial"/>
          <w:shd w:val="clear" w:color="auto" w:fill="FFFFFF"/>
        </w:rPr>
        <w:t>education</w:t>
      </w:r>
      <w:r w:rsidR="0043356D">
        <w:rPr>
          <w:rFonts w:cs="Arial"/>
          <w:shd w:val="clear" w:color="auto" w:fill="FFFFFF"/>
        </w:rPr>
        <w:t xml:space="preserve"> and work, and our homes, can keep us mentally healthy</w:t>
      </w:r>
      <w:r w:rsidR="00C312EE" w:rsidRPr="004C7E33">
        <w:rPr>
          <w:rFonts w:cs="Arial"/>
          <w:shd w:val="clear" w:color="auto" w:fill="FFFFFF"/>
        </w:rPr>
        <w:t xml:space="preserve">.  </w:t>
      </w:r>
    </w:p>
    <w:p w14:paraId="34852A17" w14:textId="77777777" w:rsidR="001C5984" w:rsidRPr="004C7E33" w:rsidRDefault="001C5984" w:rsidP="00CE5C34">
      <w:pPr>
        <w:spacing w:after="0" w:line="240" w:lineRule="auto"/>
        <w:rPr>
          <w:rFonts w:cs="Arial"/>
          <w:shd w:val="clear" w:color="auto" w:fill="FFFFFF"/>
        </w:rPr>
      </w:pPr>
    </w:p>
    <w:p w14:paraId="64CE6EA7" w14:textId="5267DAFA" w:rsidR="0043356D" w:rsidRDefault="00C312EE" w:rsidP="00CE5C34">
      <w:pPr>
        <w:spacing w:after="0" w:line="240" w:lineRule="auto"/>
      </w:pPr>
      <w:r w:rsidRPr="004C7E33">
        <w:t>The</w:t>
      </w:r>
      <w:r w:rsidR="001C5984" w:rsidRPr="004C7E33">
        <w:t xml:space="preserve"> ‘Thriving at Work Bristol</w:t>
      </w:r>
      <w:r w:rsidR="00426800">
        <w:t>’ initiative</w:t>
      </w:r>
      <w:r w:rsidR="001C5984" w:rsidRPr="004C7E33">
        <w:t xml:space="preserve"> focuses on improving </w:t>
      </w:r>
      <w:r w:rsidR="00040309" w:rsidRPr="004C7E33">
        <w:t>mental health and wellbeing across our workplace</w:t>
      </w:r>
      <w:r w:rsidR="001C5984" w:rsidRPr="004C7E33">
        <w:t xml:space="preserve">s. </w:t>
      </w:r>
      <w:r w:rsidRPr="004C7E33">
        <w:t xml:space="preserve">It </w:t>
      </w:r>
      <w:r w:rsidR="00774A5F" w:rsidRPr="004C7E33">
        <w:t>builds upon the independent revie</w:t>
      </w:r>
      <w:r w:rsidR="0043356D">
        <w:t>w of mental health and employers</w:t>
      </w:r>
      <w:r w:rsidR="000B65E1" w:rsidRPr="004C7E33">
        <w:t xml:space="preserve"> that was published </w:t>
      </w:r>
      <w:r w:rsidR="00774A5F" w:rsidRPr="004C7E33">
        <w:t>by Mind CEO Paul Farmer and Lord Stevenson</w:t>
      </w:r>
      <w:r w:rsidR="0081054C" w:rsidRPr="004C7E33">
        <w:rPr>
          <w:rStyle w:val="FootnoteReference"/>
        </w:rPr>
        <w:footnoteReference w:id="1"/>
      </w:r>
      <w:r w:rsidR="000B65E1" w:rsidRPr="004C7E33">
        <w:t xml:space="preserve"> in</w:t>
      </w:r>
      <w:r w:rsidR="00B70BD7" w:rsidRPr="004C7E33">
        <w:t xml:space="preserve"> 2017</w:t>
      </w:r>
      <w:r w:rsidR="0043356D">
        <w:t xml:space="preserve">, and seeks to implement the six mental health core standards </w:t>
      </w:r>
      <w:r w:rsidR="007C58FB">
        <w:t xml:space="preserve">set out in their </w:t>
      </w:r>
      <w:r w:rsidR="00417E88">
        <w:t xml:space="preserve">report across local workplaces. </w:t>
      </w:r>
    </w:p>
    <w:p w14:paraId="12E1A628" w14:textId="77777777" w:rsidR="00417E88" w:rsidRDefault="00417E88" w:rsidP="00CE5C34">
      <w:pPr>
        <w:spacing w:after="0" w:line="240" w:lineRule="auto"/>
      </w:pPr>
    </w:p>
    <w:p w14:paraId="21A37E28" w14:textId="77777777" w:rsidR="00417E88" w:rsidRDefault="00417E88" w:rsidP="00CE5C34">
      <w:pPr>
        <w:spacing w:after="0" w:line="240" w:lineRule="auto"/>
      </w:pPr>
    </w:p>
    <w:p w14:paraId="775E5C5E" w14:textId="591A5A34" w:rsidR="002E4BDC" w:rsidRPr="004C7E33" w:rsidRDefault="00890528" w:rsidP="00CE5C34">
      <w:pPr>
        <w:pStyle w:val="ListParagraph"/>
        <w:numPr>
          <w:ilvl w:val="0"/>
          <w:numId w:val="9"/>
        </w:numPr>
        <w:spacing w:after="0" w:line="240" w:lineRule="auto"/>
        <w:rPr>
          <w:b/>
          <w:u w:val="single"/>
        </w:rPr>
      </w:pPr>
      <w:r w:rsidRPr="00445F4D">
        <w:rPr>
          <w:b/>
          <w:u w:val="single"/>
        </w:rPr>
        <w:t>Thriving at Work Bristol</w:t>
      </w:r>
      <w:r w:rsidR="007B22B8" w:rsidRPr="00445F4D">
        <w:rPr>
          <w:b/>
          <w:u w:val="single"/>
        </w:rPr>
        <w:t xml:space="preserve">: </w:t>
      </w:r>
      <w:r w:rsidR="00417E88">
        <w:rPr>
          <w:b/>
          <w:u w:val="single"/>
        </w:rPr>
        <w:t>what has been achieved so far?</w:t>
      </w:r>
    </w:p>
    <w:p w14:paraId="7A0A7875" w14:textId="77777777" w:rsidR="00040309" w:rsidRPr="004C7E33" w:rsidRDefault="00040309" w:rsidP="00CE5C34">
      <w:pPr>
        <w:pStyle w:val="ListParagraph"/>
        <w:spacing w:after="0" w:line="240" w:lineRule="auto"/>
        <w:ind w:left="360"/>
        <w:rPr>
          <w:b/>
        </w:rPr>
      </w:pPr>
    </w:p>
    <w:p w14:paraId="73620841" w14:textId="413D43FA" w:rsidR="00426800" w:rsidRPr="00445F4D" w:rsidRDefault="00417E88" w:rsidP="00CE5C34">
      <w:pPr>
        <w:spacing w:after="0" w:line="240" w:lineRule="auto"/>
      </w:pPr>
      <w:r>
        <w:rPr>
          <w:rFonts w:cs="Arial"/>
        </w:rPr>
        <w:t>In Bristol our</w:t>
      </w:r>
      <w:r w:rsidR="00426800" w:rsidRPr="00445F4D">
        <w:t xml:space="preserve"> employers described feeling</w:t>
      </w:r>
      <w:r>
        <w:t xml:space="preserve"> </w:t>
      </w:r>
      <w:r w:rsidR="00426800" w:rsidRPr="00445F4D">
        <w:t xml:space="preserve">overwhelmed by the information on offer and were often offering one-off interventions </w:t>
      </w:r>
      <w:r w:rsidR="00B42080">
        <w:t>that failed</w:t>
      </w:r>
      <w:r w:rsidR="00426800" w:rsidRPr="00445F4D">
        <w:t xml:space="preserve"> to deliver long term improvements</w:t>
      </w:r>
      <w:r>
        <w:t xml:space="preserve"> in </w:t>
      </w:r>
      <w:r w:rsidR="008A1A2C">
        <w:t xml:space="preserve">employee </w:t>
      </w:r>
      <w:r>
        <w:t>ment</w:t>
      </w:r>
      <w:r w:rsidR="00B42080">
        <w:t>al health and wellbeing</w:t>
      </w:r>
      <w:r w:rsidR="00426800" w:rsidRPr="00445F4D">
        <w:t xml:space="preserve">. They were interested in developing a more effective and joined up ‘one city’ approach. </w:t>
      </w:r>
    </w:p>
    <w:p w14:paraId="12E3A046" w14:textId="77777777" w:rsidR="00426800" w:rsidRDefault="00426800" w:rsidP="00CE5C34">
      <w:pPr>
        <w:spacing w:after="0" w:line="240" w:lineRule="auto"/>
      </w:pPr>
    </w:p>
    <w:p w14:paraId="38B416BC" w14:textId="40388D1C" w:rsidR="008113B1" w:rsidRPr="00445F4D" w:rsidRDefault="00B42080" w:rsidP="00CE5C34">
      <w:pPr>
        <w:spacing w:after="0" w:line="240" w:lineRule="auto"/>
      </w:pPr>
      <w:r>
        <w:t xml:space="preserve">In </w:t>
      </w:r>
      <w:r w:rsidR="008A1A2C">
        <w:t>response to this, in 2018</w:t>
      </w:r>
      <w:r w:rsidR="00971391" w:rsidRPr="00445F4D">
        <w:t xml:space="preserve"> our ‘Thriving at Work’ Bristol Taskgroup was created</w:t>
      </w:r>
      <w:r w:rsidR="008A1A2C">
        <w:t>.</w:t>
      </w:r>
      <w:r w:rsidR="00971391" w:rsidRPr="00445F4D">
        <w:t xml:space="preserve"> Supported by Bristol City Council’s </w:t>
      </w:r>
      <w:r w:rsidR="001E67FA">
        <w:t>public he</w:t>
      </w:r>
      <w:r w:rsidR="00971391" w:rsidRPr="00445F4D">
        <w:t>alth team, 25 public, private and voluntary organisations came together to review the recommendations in the Stevenson</w:t>
      </w:r>
      <w:r w:rsidR="00852EFF">
        <w:t xml:space="preserve"> </w:t>
      </w:r>
      <w:r w:rsidR="00971391" w:rsidRPr="00445F4D">
        <w:t>/</w:t>
      </w:r>
      <w:r w:rsidR="00852EFF">
        <w:t xml:space="preserve"> </w:t>
      </w:r>
      <w:r w:rsidR="00971391" w:rsidRPr="00445F4D">
        <w:t>Farmer review and consider how this best practice could be implemented at scale across the city.</w:t>
      </w:r>
      <w:r>
        <w:t xml:space="preserve"> The group was c</w:t>
      </w:r>
      <w:r w:rsidR="00971391" w:rsidRPr="00445F4D">
        <w:t>haired by Bri</w:t>
      </w:r>
      <w:r w:rsidR="00417E88">
        <w:t xml:space="preserve">stol Mind </w:t>
      </w:r>
      <w:r w:rsidR="00971391" w:rsidRPr="00445F4D">
        <w:t xml:space="preserve">and </w:t>
      </w:r>
      <w:r>
        <w:t>l</w:t>
      </w:r>
      <w:r w:rsidR="00417E88">
        <w:t>aw firm Burges Salmon</w:t>
      </w:r>
      <w:r w:rsidR="00971391" w:rsidRPr="00445F4D">
        <w:t xml:space="preserve">, </w:t>
      </w:r>
      <w:r>
        <w:t>and</w:t>
      </w:r>
      <w:r w:rsidR="00971391" w:rsidRPr="00445F4D">
        <w:t xml:space="preserve"> included leads from Deloitte, Rolls </w:t>
      </w:r>
      <w:r w:rsidR="00426800">
        <w:t>Royce, Windmill Hill City F</w:t>
      </w:r>
      <w:r w:rsidR="00971391" w:rsidRPr="00445F4D">
        <w:t xml:space="preserve">arm, the NHS and unions. </w:t>
      </w:r>
      <w:r>
        <w:t>It</w:t>
      </w:r>
      <w:r w:rsidR="00040309" w:rsidRPr="004C7E33">
        <w:t xml:space="preserve"> </w:t>
      </w:r>
      <w:r w:rsidR="004E7C13" w:rsidRPr="004C7E33">
        <w:t>identified</w:t>
      </w:r>
      <w:r w:rsidR="002E4BDC" w:rsidRPr="004C7E33">
        <w:t xml:space="preserve"> </w:t>
      </w:r>
      <w:r w:rsidR="00040309" w:rsidRPr="004C7E33">
        <w:t xml:space="preserve">good practice in Bristol, and shared ideas on </w:t>
      </w:r>
      <w:r w:rsidR="007B22B8" w:rsidRPr="00445F4D">
        <w:t xml:space="preserve">how </w:t>
      </w:r>
      <w:r w:rsidR="002E4BDC" w:rsidRPr="004C7E33">
        <w:t>to improve mental health and wellbe</w:t>
      </w:r>
      <w:r w:rsidR="00417E88">
        <w:t>ing at scale in our workplaces – captured in t</w:t>
      </w:r>
      <w:r w:rsidR="008113B1" w:rsidRPr="00445F4D">
        <w:t xml:space="preserve">he </w:t>
      </w:r>
      <w:r w:rsidR="007B22B8" w:rsidRPr="00445F4D">
        <w:t>‘Th</w:t>
      </w:r>
      <w:r w:rsidR="00417E88">
        <w:t>riving at Work Bristol’ report</w:t>
      </w:r>
      <w:r>
        <w:t>, which will be launched at our conference on</w:t>
      </w:r>
      <w:r w:rsidR="00050CF7" w:rsidRPr="00445F4D">
        <w:t xml:space="preserve"> </w:t>
      </w:r>
      <w:r w:rsidR="008113B1" w:rsidRPr="00445F4D">
        <w:t>4</w:t>
      </w:r>
      <w:r w:rsidR="008113B1" w:rsidRPr="004C7E33">
        <w:rPr>
          <w:vertAlign w:val="superscript"/>
        </w:rPr>
        <w:t>th</w:t>
      </w:r>
      <w:r w:rsidR="008113B1" w:rsidRPr="00445F4D">
        <w:t xml:space="preserve"> November</w:t>
      </w:r>
      <w:r>
        <w:t>.</w:t>
      </w:r>
      <w:r w:rsidR="008113B1" w:rsidRPr="00445F4D">
        <w:t xml:space="preserve"> </w:t>
      </w:r>
      <w:r>
        <w:t xml:space="preserve"> </w:t>
      </w:r>
    </w:p>
    <w:p w14:paraId="752B3AFD" w14:textId="77777777" w:rsidR="008113B1" w:rsidRDefault="008113B1" w:rsidP="00CE5C34">
      <w:pPr>
        <w:spacing w:after="0" w:line="240" w:lineRule="auto"/>
      </w:pPr>
    </w:p>
    <w:p w14:paraId="75489B75" w14:textId="77777777" w:rsidR="007C58FB" w:rsidRPr="00445F4D" w:rsidRDefault="007C58FB" w:rsidP="00CE5C34">
      <w:pPr>
        <w:spacing w:after="0" w:line="240" w:lineRule="auto"/>
      </w:pPr>
    </w:p>
    <w:p w14:paraId="53F513B0" w14:textId="2B058FFE" w:rsidR="004E7C13" w:rsidRPr="004C7E33" w:rsidRDefault="008113B1" w:rsidP="00CE5C34">
      <w:pPr>
        <w:pStyle w:val="ListParagraph"/>
        <w:numPr>
          <w:ilvl w:val="0"/>
          <w:numId w:val="9"/>
        </w:numPr>
        <w:spacing w:after="0" w:line="240" w:lineRule="auto"/>
        <w:rPr>
          <w:b/>
          <w:u w:val="single"/>
        </w:rPr>
      </w:pPr>
      <w:r w:rsidRPr="00445F4D">
        <w:rPr>
          <w:b/>
          <w:u w:val="single"/>
        </w:rPr>
        <w:t>Thriving at Work Bristol: Phase 2</w:t>
      </w:r>
    </w:p>
    <w:p w14:paraId="6E983C79" w14:textId="77777777" w:rsidR="001E67FA" w:rsidRDefault="001E67FA" w:rsidP="00CE5C34">
      <w:pPr>
        <w:spacing w:after="0" w:line="240" w:lineRule="auto"/>
        <w:rPr>
          <w:b/>
        </w:rPr>
      </w:pPr>
    </w:p>
    <w:p w14:paraId="18665B2E" w14:textId="0EB39EC2" w:rsidR="00971391" w:rsidRDefault="00040309" w:rsidP="00CE5C34">
      <w:pPr>
        <w:tabs>
          <w:tab w:val="left" w:pos="851"/>
        </w:tabs>
        <w:spacing w:after="0" w:line="240" w:lineRule="auto"/>
      </w:pPr>
      <w:r w:rsidRPr="004C7E33">
        <w:t>Phase 2</w:t>
      </w:r>
      <w:r w:rsidRPr="004C7E33">
        <w:rPr>
          <w:b/>
        </w:rPr>
        <w:t xml:space="preserve"> </w:t>
      </w:r>
      <w:r w:rsidRPr="004C7E33">
        <w:t xml:space="preserve">will be </w:t>
      </w:r>
      <w:r w:rsidR="008113B1" w:rsidRPr="00445F4D">
        <w:t>formally launched on 4</w:t>
      </w:r>
      <w:r w:rsidR="008113B1" w:rsidRPr="004C7E33">
        <w:rPr>
          <w:vertAlign w:val="superscript"/>
        </w:rPr>
        <w:t>th</w:t>
      </w:r>
      <w:r w:rsidR="008113B1" w:rsidRPr="00445F4D">
        <w:t xml:space="preserve"> </w:t>
      </w:r>
      <w:r w:rsidR="00971391" w:rsidRPr="00445F4D">
        <w:t>November</w:t>
      </w:r>
      <w:r w:rsidR="00D24E97">
        <w:t xml:space="preserve">. This phase is being led by employers (supported by public health) and will focus </w:t>
      </w:r>
      <w:r w:rsidR="006A6B95">
        <w:t>on testing, learning</w:t>
      </w:r>
      <w:r w:rsidR="00D24E97">
        <w:t>,</w:t>
      </w:r>
      <w:r w:rsidR="006A6B95">
        <w:t xml:space="preserve"> sharing</w:t>
      </w:r>
      <w:r w:rsidR="009F173F">
        <w:t>,</w:t>
      </w:r>
      <w:r w:rsidR="00D24E97">
        <w:t xml:space="preserve"> and scaling up improvement</w:t>
      </w:r>
      <w:r w:rsidRPr="004C7E33">
        <w:t xml:space="preserve">. </w:t>
      </w:r>
    </w:p>
    <w:p w14:paraId="68BDD83C" w14:textId="77777777" w:rsidR="008109D0" w:rsidRDefault="008109D0" w:rsidP="00CE5C34">
      <w:pPr>
        <w:spacing w:after="0" w:line="240" w:lineRule="auto"/>
      </w:pPr>
    </w:p>
    <w:p w14:paraId="4710935F" w14:textId="67D26138" w:rsidR="001E67FA" w:rsidRDefault="001E67FA" w:rsidP="00CE5C34">
      <w:pPr>
        <w:spacing w:after="0" w:line="240" w:lineRule="auto"/>
      </w:pPr>
      <w:r>
        <w:t xml:space="preserve">Three action groups </w:t>
      </w:r>
      <w:r w:rsidR="006A6B95">
        <w:t xml:space="preserve">have been created to </w:t>
      </w:r>
      <w:r w:rsidR="006A6B95" w:rsidRPr="004C7E33">
        <w:t>improve mental health and wellbeing in workplaces</w:t>
      </w:r>
      <w:r w:rsidR="006A6B95">
        <w:t xml:space="preserve"> by:</w:t>
      </w:r>
    </w:p>
    <w:p w14:paraId="5BC68948" w14:textId="724D2C03" w:rsidR="002302FF" w:rsidRDefault="006A6B95" w:rsidP="00CE5C34">
      <w:pPr>
        <w:pStyle w:val="ListParagraph"/>
        <w:numPr>
          <w:ilvl w:val="0"/>
          <w:numId w:val="32"/>
        </w:numPr>
        <w:spacing w:after="0" w:line="240" w:lineRule="auto"/>
      </w:pPr>
      <w:r w:rsidRPr="00445F4D">
        <w:t>Implement</w:t>
      </w:r>
      <w:r>
        <w:t>ing</w:t>
      </w:r>
      <w:r w:rsidRPr="00445F4D">
        <w:t xml:space="preserve"> the </w:t>
      </w:r>
      <w:r w:rsidRPr="006962F2">
        <w:t>Thriving at Work</w:t>
      </w:r>
      <w:r w:rsidRPr="00445F4D">
        <w:t xml:space="preserve"> mental health </w:t>
      </w:r>
      <w:r>
        <w:t xml:space="preserve">core </w:t>
      </w:r>
      <w:r w:rsidRPr="00445F4D">
        <w:t>standards</w:t>
      </w:r>
      <w:r w:rsidR="00B64195">
        <w:t xml:space="preserve"> and</w:t>
      </w:r>
      <w:r>
        <w:t xml:space="preserve"> t</w:t>
      </w:r>
      <w:r w:rsidR="001E67FA">
        <w:t>est</w:t>
      </w:r>
      <w:r>
        <w:t>ing</w:t>
      </w:r>
      <w:r w:rsidR="001E67FA">
        <w:t xml:space="preserve"> interve</w:t>
      </w:r>
      <w:r>
        <w:t xml:space="preserve">ntions. </w:t>
      </w:r>
    </w:p>
    <w:p w14:paraId="747B7AC8" w14:textId="38B899BD" w:rsidR="006A6B95" w:rsidRDefault="006A6B95" w:rsidP="00CE5C34">
      <w:pPr>
        <w:pStyle w:val="ListParagraph"/>
        <w:numPr>
          <w:ilvl w:val="0"/>
          <w:numId w:val="32"/>
        </w:numPr>
        <w:spacing w:after="0" w:line="240" w:lineRule="auto"/>
      </w:pPr>
      <w:r>
        <w:t>Measur</w:t>
      </w:r>
      <w:r w:rsidR="00D24E97">
        <w:t>ing</w:t>
      </w:r>
      <w:r>
        <w:t xml:space="preserve"> the impact</w:t>
      </w:r>
      <w:r w:rsidR="009F173F">
        <w:t xml:space="preserve"> and</w:t>
      </w:r>
      <w:r>
        <w:t xml:space="preserve"> d</w:t>
      </w:r>
      <w:r w:rsidR="001E67FA">
        <w:t>evelop</w:t>
      </w:r>
      <w:r>
        <w:t>ing</w:t>
      </w:r>
      <w:r w:rsidR="001E67FA">
        <w:t xml:space="preserve"> evidence, learning and guidance</w:t>
      </w:r>
      <w:r>
        <w:t>.</w:t>
      </w:r>
    </w:p>
    <w:p w14:paraId="53E9259D" w14:textId="07332D9C" w:rsidR="001E67FA" w:rsidRDefault="006A6B95" w:rsidP="00CE5C34">
      <w:pPr>
        <w:pStyle w:val="ListParagraph"/>
        <w:numPr>
          <w:ilvl w:val="0"/>
          <w:numId w:val="32"/>
        </w:numPr>
        <w:spacing w:after="0" w:line="240" w:lineRule="auto"/>
      </w:pPr>
      <w:r>
        <w:t>Shar</w:t>
      </w:r>
      <w:r w:rsidR="00D24E97">
        <w:t>ing</w:t>
      </w:r>
      <w:r>
        <w:t xml:space="preserve"> learning widely, and s</w:t>
      </w:r>
      <w:r w:rsidR="00D24E97">
        <w:t>caling</w:t>
      </w:r>
      <w:r w:rsidR="001E67FA">
        <w:t xml:space="preserve"> up ‘what works’ to spread improvement across the region</w:t>
      </w:r>
      <w:r w:rsidR="00D24E97">
        <w:t xml:space="preserve"> (creating cycles of continuous improvement)</w:t>
      </w:r>
      <w:r w:rsidR="001E67FA">
        <w:t xml:space="preserve">. </w:t>
      </w:r>
    </w:p>
    <w:p w14:paraId="03A5FA25" w14:textId="5335BE63" w:rsidR="006A6B95" w:rsidRDefault="009F173F" w:rsidP="00CE5C34">
      <w:pPr>
        <w:pStyle w:val="ListParagraph"/>
        <w:numPr>
          <w:ilvl w:val="0"/>
          <w:numId w:val="32"/>
        </w:numPr>
        <w:spacing w:after="0" w:line="240" w:lineRule="auto"/>
      </w:pPr>
      <w:r>
        <w:t xml:space="preserve">In parallel, evaluating </w:t>
      </w:r>
      <w:r w:rsidR="001E67FA">
        <w:t>the impact of</w:t>
      </w:r>
      <w:r w:rsidR="006A6B95">
        <w:t xml:space="preserve"> multiple</w:t>
      </w:r>
      <w:r w:rsidR="001E67FA">
        <w:t xml:space="preserve"> organisatio</w:t>
      </w:r>
      <w:r w:rsidR="002302FF">
        <w:t xml:space="preserve">ns </w:t>
      </w:r>
      <w:r w:rsidR="006A6B95">
        <w:t>across</w:t>
      </w:r>
      <w:r w:rsidR="002302FF">
        <w:t xml:space="preserve"> a region</w:t>
      </w:r>
      <w:r w:rsidR="006A6B95">
        <w:t xml:space="preserve"> / sectors / sizes</w:t>
      </w:r>
      <w:r w:rsidR="002302FF">
        <w:t xml:space="preserve"> </w:t>
      </w:r>
      <w:r w:rsidR="006A6B95">
        <w:t>collaborating</w:t>
      </w:r>
      <w:r>
        <w:t xml:space="preserve"> to improve mental health and wellbeing across their organisations</w:t>
      </w:r>
      <w:r w:rsidR="006A6B95">
        <w:t xml:space="preserve">. </w:t>
      </w:r>
    </w:p>
    <w:p w14:paraId="051FFDCD" w14:textId="0090EF37" w:rsidR="006A6B95" w:rsidRDefault="006A6B95" w:rsidP="00CE5C34">
      <w:pPr>
        <w:pStyle w:val="ListParagraph"/>
        <w:spacing w:after="0" w:line="240" w:lineRule="auto"/>
      </w:pPr>
    </w:p>
    <w:p w14:paraId="78B518F1" w14:textId="77777777" w:rsidR="005632A0" w:rsidRDefault="005632A0" w:rsidP="00CE5C34">
      <w:pPr>
        <w:spacing w:after="0" w:line="240" w:lineRule="auto"/>
      </w:pPr>
    </w:p>
    <w:p w14:paraId="548A43F6" w14:textId="77777777" w:rsidR="001C3412" w:rsidRDefault="001C3412" w:rsidP="00CE5C34">
      <w:pPr>
        <w:spacing w:after="0" w:line="240" w:lineRule="auto"/>
      </w:pPr>
    </w:p>
    <w:p w14:paraId="6DDA2CEC" w14:textId="65DED93D" w:rsidR="005632A0" w:rsidRDefault="005632A0" w:rsidP="00CE5C34">
      <w:pPr>
        <w:pStyle w:val="ListParagraph"/>
        <w:numPr>
          <w:ilvl w:val="0"/>
          <w:numId w:val="9"/>
        </w:numPr>
        <w:spacing w:after="0" w:line="240" w:lineRule="auto"/>
        <w:rPr>
          <w:b/>
          <w:u w:val="single"/>
        </w:rPr>
      </w:pPr>
      <w:r w:rsidRPr="005632A0">
        <w:rPr>
          <w:b/>
          <w:u w:val="single"/>
        </w:rPr>
        <w:lastRenderedPageBreak/>
        <w:t>Action Groups</w:t>
      </w:r>
    </w:p>
    <w:p w14:paraId="3140E5CF" w14:textId="77777777" w:rsidR="005632A0" w:rsidRDefault="005632A0" w:rsidP="00CE5C34">
      <w:pPr>
        <w:spacing w:after="0" w:line="240" w:lineRule="auto"/>
        <w:rPr>
          <w:b/>
          <w:u w:val="single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7149"/>
      </w:tblGrid>
      <w:tr w:rsidR="005632A0" w14:paraId="2467F078" w14:textId="77777777" w:rsidTr="005632A0">
        <w:tc>
          <w:tcPr>
            <w:tcW w:w="2093" w:type="dxa"/>
          </w:tcPr>
          <w:p w14:paraId="02F46D17" w14:textId="5FF1A30F" w:rsidR="005632A0" w:rsidRDefault="005632A0" w:rsidP="00CE5C34">
            <w:pPr>
              <w:rPr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5D59F253" wp14:editId="58EFE982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49530</wp:posOffset>
                  </wp:positionV>
                  <wp:extent cx="1219200" cy="494030"/>
                  <wp:effectExtent l="0" t="0" r="0" b="1270"/>
                  <wp:wrapTight wrapText="bothSides">
                    <wp:wrapPolygon edited="0">
                      <wp:start x="0" y="0"/>
                      <wp:lineTo x="0" y="20823"/>
                      <wp:lineTo x="21263" y="20823"/>
                      <wp:lineTo x="2126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vo logo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09B922" w14:textId="77777777" w:rsidR="005632A0" w:rsidRDefault="005632A0" w:rsidP="00CE5C34">
            <w:pPr>
              <w:rPr>
                <w:b/>
                <w:u w:val="single"/>
              </w:rPr>
            </w:pPr>
          </w:p>
          <w:p w14:paraId="52BE2421" w14:textId="77777777" w:rsidR="005632A0" w:rsidRDefault="005632A0" w:rsidP="00CE5C34">
            <w:pPr>
              <w:rPr>
                <w:b/>
                <w:u w:val="single"/>
              </w:rPr>
            </w:pPr>
          </w:p>
          <w:p w14:paraId="6EC04F98" w14:textId="77777777" w:rsidR="005632A0" w:rsidRDefault="005632A0" w:rsidP="00CE5C34">
            <w:pPr>
              <w:rPr>
                <w:b/>
                <w:u w:val="single"/>
              </w:rPr>
            </w:pPr>
          </w:p>
        </w:tc>
        <w:tc>
          <w:tcPr>
            <w:tcW w:w="7149" w:type="dxa"/>
          </w:tcPr>
          <w:p w14:paraId="7626F30D" w14:textId="77777777" w:rsidR="005632A0" w:rsidRPr="002302FF" w:rsidRDefault="005632A0" w:rsidP="00CE5C34">
            <w:r w:rsidRPr="005632A0">
              <w:rPr>
                <w:b/>
              </w:rPr>
              <w:t>Culture and Behaviour Action Group</w:t>
            </w:r>
          </w:p>
          <w:p w14:paraId="7C873B1C" w14:textId="77777777" w:rsidR="005632A0" w:rsidRDefault="005632A0" w:rsidP="00CE5C34">
            <w:pPr>
              <w:rPr>
                <w:b/>
                <w:u w:val="single"/>
              </w:rPr>
            </w:pPr>
          </w:p>
          <w:p w14:paraId="07406747" w14:textId="77777777" w:rsidR="005632A0" w:rsidRPr="005632A0" w:rsidRDefault="005632A0" w:rsidP="00CE5C34">
            <w:pPr>
              <w:rPr>
                <w:b/>
              </w:rPr>
            </w:pPr>
            <w:r w:rsidRPr="005632A0">
              <w:rPr>
                <w:b/>
              </w:rPr>
              <w:t xml:space="preserve">Chair: </w:t>
            </w:r>
          </w:p>
          <w:p w14:paraId="6AF390BD" w14:textId="4CC6C45E" w:rsidR="005632A0" w:rsidRDefault="005632A0" w:rsidP="00CE5C34">
            <w:r>
              <w:t xml:space="preserve">Stephen Harris, </w:t>
            </w:r>
            <w:r>
              <w:rPr>
                <w:bCs/>
              </w:rPr>
              <w:t>Trading Director, Ovo Energy</w:t>
            </w:r>
          </w:p>
          <w:p w14:paraId="7AA4429A" w14:textId="77777777" w:rsidR="005632A0" w:rsidRDefault="005632A0" w:rsidP="00CE5C34">
            <w:pPr>
              <w:rPr>
                <w:b/>
                <w:u w:val="single"/>
              </w:rPr>
            </w:pPr>
          </w:p>
          <w:p w14:paraId="0A9C186B" w14:textId="16D318D6" w:rsidR="005632A0" w:rsidRPr="005632A0" w:rsidRDefault="0002580D" w:rsidP="00CE5C34">
            <w:pPr>
              <w:rPr>
                <w:b/>
              </w:rPr>
            </w:pPr>
            <w:r>
              <w:rPr>
                <w:b/>
              </w:rPr>
              <w:t>Current p</w:t>
            </w:r>
            <w:r w:rsidR="005632A0" w:rsidRPr="005632A0">
              <w:rPr>
                <w:b/>
              </w:rPr>
              <w:t>artner organisations:</w:t>
            </w:r>
          </w:p>
          <w:p w14:paraId="6D049A24" w14:textId="55E6A045" w:rsidR="005632A0" w:rsidRDefault="005632A0" w:rsidP="00CE5C34">
            <w:r>
              <w:t xml:space="preserve">Department for Work and Pensions, Rolls Royce, St Monica’s Trust, Triodos Bank, Unite the Union. </w:t>
            </w:r>
            <w:r w:rsidR="00B561F7">
              <w:t xml:space="preserve"> </w:t>
            </w:r>
          </w:p>
          <w:p w14:paraId="62BA6956" w14:textId="60B32577" w:rsidR="00A37A79" w:rsidRPr="005632A0" w:rsidRDefault="00A37A79" w:rsidP="00CE5C34"/>
        </w:tc>
      </w:tr>
      <w:tr w:rsidR="005632A0" w14:paraId="016034F2" w14:textId="77777777" w:rsidTr="005632A0">
        <w:tc>
          <w:tcPr>
            <w:tcW w:w="2093" w:type="dxa"/>
          </w:tcPr>
          <w:p w14:paraId="4280F878" w14:textId="28D54543" w:rsidR="005632A0" w:rsidRPr="005632A0" w:rsidRDefault="005632A0" w:rsidP="00CE5C34">
            <w:pPr>
              <w:rPr>
                <w:b/>
              </w:rPr>
            </w:pPr>
            <w:r w:rsidRPr="005632A0">
              <w:rPr>
                <w:b/>
              </w:rPr>
              <w:t>Aims</w:t>
            </w:r>
          </w:p>
        </w:tc>
        <w:tc>
          <w:tcPr>
            <w:tcW w:w="7149" w:type="dxa"/>
          </w:tcPr>
          <w:p w14:paraId="2E901FEB" w14:textId="1975E7B3" w:rsidR="00B561F7" w:rsidRDefault="008A1A2C" w:rsidP="00CE5C34">
            <w:r>
              <w:t>To improve culture and behaviour in workplaces through</w:t>
            </w:r>
            <w:r w:rsidR="00414065">
              <w:t>:</w:t>
            </w:r>
            <w:r w:rsidR="00B561F7">
              <w:t xml:space="preserve"> </w:t>
            </w:r>
          </w:p>
          <w:p w14:paraId="53731E22" w14:textId="5B467D31" w:rsidR="00B561F7" w:rsidRDefault="009A5C6D" w:rsidP="00B561F7">
            <w:pPr>
              <w:pStyle w:val="ListParagraph"/>
              <w:numPr>
                <w:ilvl w:val="0"/>
                <w:numId w:val="36"/>
              </w:numPr>
            </w:pPr>
            <w:r>
              <w:t>I</w:t>
            </w:r>
            <w:r w:rsidR="008A1A2C">
              <w:t xml:space="preserve">ncreasing the </w:t>
            </w:r>
            <w:r w:rsidR="00A37A79">
              <w:t xml:space="preserve">number of </w:t>
            </w:r>
            <w:r>
              <w:t>organisations in the region</w:t>
            </w:r>
            <w:r w:rsidR="00A37A79">
              <w:t xml:space="preserve"> implement</w:t>
            </w:r>
            <w:r>
              <w:t>ing</w:t>
            </w:r>
            <w:r w:rsidR="00A37A79">
              <w:t xml:space="preserve"> </w:t>
            </w:r>
            <w:r>
              <w:t xml:space="preserve">mental health </w:t>
            </w:r>
            <w:r w:rsidR="00A37A79">
              <w:t>interventions (as part of a Mental Health Action Plan)</w:t>
            </w:r>
            <w:r w:rsidR="00414065">
              <w:t>.</w:t>
            </w:r>
          </w:p>
          <w:p w14:paraId="1AE6EDF5" w14:textId="49312224" w:rsidR="00A37A79" w:rsidRDefault="009A5C6D" w:rsidP="00B561F7">
            <w:pPr>
              <w:pStyle w:val="ListParagraph"/>
              <w:numPr>
                <w:ilvl w:val="0"/>
                <w:numId w:val="36"/>
              </w:numPr>
            </w:pPr>
            <w:r>
              <w:t>T</w:t>
            </w:r>
            <w:r w:rsidR="008A1A2C">
              <w:t xml:space="preserve">hrough </w:t>
            </w:r>
            <w:r w:rsidR="00B561F7">
              <w:t xml:space="preserve">our testing, </w:t>
            </w:r>
            <w:r w:rsidR="001C3412">
              <w:t xml:space="preserve">the group will the </w:t>
            </w:r>
            <w:r w:rsidR="008A1A2C">
              <w:t xml:space="preserve">strengthen </w:t>
            </w:r>
            <w:r w:rsidR="001C3412">
              <w:t xml:space="preserve">the </w:t>
            </w:r>
            <w:r w:rsidR="00B561F7">
              <w:t xml:space="preserve">evidence </w:t>
            </w:r>
            <w:r w:rsidR="001C3412">
              <w:t xml:space="preserve">for, </w:t>
            </w:r>
            <w:r w:rsidR="00B561F7">
              <w:t>and understanding of</w:t>
            </w:r>
            <w:r w:rsidR="001C3412">
              <w:t>,</w:t>
            </w:r>
            <w:r w:rsidR="00B561F7">
              <w:t xml:space="preserve"> the interventions which have greatest impact.   </w:t>
            </w:r>
          </w:p>
          <w:p w14:paraId="68C8FB5E" w14:textId="2AE128CC" w:rsidR="008109D0" w:rsidRPr="008109D0" w:rsidRDefault="008109D0" w:rsidP="00CE5C34"/>
        </w:tc>
      </w:tr>
      <w:tr w:rsidR="005632A0" w14:paraId="2222556B" w14:textId="77777777" w:rsidTr="005632A0">
        <w:tc>
          <w:tcPr>
            <w:tcW w:w="2093" w:type="dxa"/>
          </w:tcPr>
          <w:p w14:paraId="31DB1159" w14:textId="77777777" w:rsidR="005632A0" w:rsidRPr="00A37A79" w:rsidRDefault="00A37A79" w:rsidP="00CE5C34">
            <w:pPr>
              <w:rPr>
                <w:b/>
              </w:rPr>
            </w:pPr>
            <w:r w:rsidRPr="00A37A79">
              <w:rPr>
                <w:b/>
              </w:rPr>
              <w:t>Approach</w:t>
            </w:r>
          </w:p>
          <w:p w14:paraId="62DBDBB0" w14:textId="092A2BB2" w:rsidR="00A37A79" w:rsidRPr="00A37A79" w:rsidRDefault="00A37A79" w:rsidP="00CE5C34"/>
        </w:tc>
        <w:tc>
          <w:tcPr>
            <w:tcW w:w="7149" w:type="dxa"/>
          </w:tcPr>
          <w:p w14:paraId="11F285C2" w14:textId="6466BB6C" w:rsidR="00A37A79" w:rsidRDefault="009A5C6D" w:rsidP="00CE5C34">
            <w:r>
              <w:t>To share with local employers information on mental health and wellbeing</w:t>
            </w:r>
            <w:r w:rsidR="00A37A79" w:rsidRPr="00DC442C">
              <w:t xml:space="preserve"> interventions</w:t>
            </w:r>
            <w:r w:rsidR="00414065">
              <w:t xml:space="preserve"> and advis</w:t>
            </w:r>
            <w:r>
              <w:t>e on their implementation</w:t>
            </w:r>
            <w:r w:rsidR="00A37A79" w:rsidRPr="00DC442C">
              <w:t xml:space="preserve"> </w:t>
            </w:r>
            <w:r>
              <w:t xml:space="preserve">(via </w:t>
            </w:r>
            <w:r w:rsidR="00A37A79">
              <w:t xml:space="preserve">evidence </w:t>
            </w:r>
            <w:r w:rsidR="00696515">
              <w:t>/</w:t>
            </w:r>
            <w:r>
              <w:t xml:space="preserve"> guidance / </w:t>
            </w:r>
            <w:r w:rsidR="00A37A79">
              <w:t xml:space="preserve">partners’ </w:t>
            </w:r>
            <w:r w:rsidR="00A37A79" w:rsidRPr="00DC442C">
              <w:t>experience</w:t>
            </w:r>
            <w:r>
              <w:t xml:space="preserve"> / expert advice). For each, </w:t>
            </w:r>
            <w:r w:rsidR="00A37A79">
              <w:t xml:space="preserve">a ‘sponsor’ employer </w:t>
            </w:r>
            <w:r>
              <w:t xml:space="preserve">will be identified </w:t>
            </w:r>
            <w:r w:rsidR="00A37A79">
              <w:t>to speak wi</w:t>
            </w:r>
            <w:r>
              <w:t xml:space="preserve">th other employers about </w:t>
            </w:r>
            <w:r w:rsidR="00A37A79">
              <w:t xml:space="preserve">its impact and any learning. </w:t>
            </w:r>
          </w:p>
          <w:p w14:paraId="3CE37A21" w14:textId="77777777" w:rsidR="00A37A79" w:rsidRDefault="00A37A79" w:rsidP="00CE5C34"/>
          <w:p w14:paraId="20021B9A" w14:textId="6F5D9379" w:rsidR="00A37A79" w:rsidRDefault="00A37A79" w:rsidP="00CE5C34">
            <w:r>
              <w:t>To t</w:t>
            </w:r>
            <w:r w:rsidRPr="00DC442C">
              <w:t>est and measure the effectiveness of</w:t>
            </w:r>
            <w:r>
              <w:t xml:space="preserve"> a number of </w:t>
            </w:r>
            <w:r w:rsidRPr="00DC442C">
              <w:t xml:space="preserve">interventions </w:t>
            </w:r>
            <w:r>
              <w:t xml:space="preserve">– testing </w:t>
            </w:r>
            <w:r w:rsidR="00696515">
              <w:t>each in</w:t>
            </w:r>
            <w:r>
              <w:t xml:space="preserve"> different local workplaces to understand impact. </w:t>
            </w:r>
            <w:r w:rsidR="00414065">
              <w:t xml:space="preserve">For example, testing mental health training for line managers or Wellness Action Plans.  </w:t>
            </w:r>
          </w:p>
          <w:p w14:paraId="0159BE18" w14:textId="77777777" w:rsidR="00A37A79" w:rsidRDefault="00A37A79" w:rsidP="00CE5C34"/>
          <w:p w14:paraId="0BE9AF4D" w14:textId="658BE591" w:rsidR="00A37A79" w:rsidRDefault="00A37A79" w:rsidP="00CE5C34">
            <w:r>
              <w:t>To r</w:t>
            </w:r>
            <w:r w:rsidRPr="00DC442C">
              <w:t>eport findings</w:t>
            </w:r>
            <w:r>
              <w:t xml:space="preserve"> with employ</w:t>
            </w:r>
            <w:r w:rsidR="00414065">
              <w:t>ers across the region and</w:t>
            </w:r>
            <w:r>
              <w:t xml:space="preserve"> scale up the approaches which have had the greatest impact. </w:t>
            </w:r>
          </w:p>
          <w:p w14:paraId="2787DC7C" w14:textId="777BA93E" w:rsidR="00A37A79" w:rsidRPr="008109D0" w:rsidRDefault="00A37A79" w:rsidP="00414065"/>
        </w:tc>
      </w:tr>
    </w:tbl>
    <w:p w14:paraId="5C6484C4" w14:textId="77777777" w:rsidR="00DC442C" w:rsidRDefault="00DC442C" w:rsidP="00CE5C34">
      <w:pPr>
        <w:spacing w:after="0" w:line="240" w:lineRule="auto"/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7149"/>
      </w:tblGrid>
      <w:tr w:rsidR="00A37A79" w:rsidRPr="005632A0" w14:paraId="00B1BACE" w14:textId="77777777" w:rsidTr="008109D0">
        <w:trPr>
          <w:trHeight w:val="1683"/>
        </w:trPr>
        <w:tc>
          <w:tcPr>
            <w:tcW w:w="2093" w:type="dxa"/>
          </w:tcPr>
          <w:p w14:paraId="7E56D59C" w14:textId="6765CE0E" w:rsidR="00A37A79" w:rsidRDefault="00A37A79" w:rsidP="00CE5C34">
            <w:pPr>
              <w:rPr>
                <w:b/>
                <w:u w:val="single"/>
              </w:rPr>
            </w:pPr>
            <w:r>
              <w:rPr>
                <w:b/>
                <w:noProof/>
                <w:u w:val="single"/>
                <w:lang w:eastAsia="en-GB"/>
              </w:rPr>
              <w:drawing>
                <wp:inline distT="0" distB="0" distL="0" distR="0" wp14:anchorId="479EE9E5" wp14:editId="458B3E53">
                  <wp:extent cx="1191895" cy="621030"/>
                  <wp:effectExtent l="0" t="0" r="8255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L logo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621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4DB030" w14:textId="77777777" w:rsidR="00A37A79" w:rsidRDefault="00A37A79" w:rsidP="00CE5C34">
            <w:pPr>
              <w:rPr>
                <w:b/>
                <w:u w:val="single"/>
              </w:rPr>
            </w:pPr>
          </w:p>
          <w:p w14:paraId="5C3D676C" w14:textId="77777777" w:rsidR="00A37A79" w:rsidRDefault="00A37A79" w:rsidP="00CE5C34">
            <w:pPr>
              <w:rPr>
                <w:b/>
                <w:u w:val="single"/>
              </w:rPr>
            </w:pPr>
          </w:p>
        </w:tc>
        <w:tc>
          <w:tcPr>
            <w:tcW w:w="7149" w:type="dxa"/>
          </w:tcPr>
          <w:p w14:paraId="3AB57F03" w14:textId="45CC008C" w:rsidR="00A37A79" w:rsidRPr="002302FF" w:rsidRDefault="00A37A79" w:rsidP="00CE5C34">
            <w:r>
              <w:rPr>
                <w:b/>
              </w:rPr>
              <w:t>Policy</w:t>
            </w:r>
            <w:r w:rsidRPr="005632A0">
              <w:rPr>
                <w:b/>
              </w:rPr>
              <w:t xml:space="preserve"> Group</w:t>
            </w:r>
          </w:p>
          <w:p w14:paraId="5FD67BB1" w14:textId="77777777" w:rsidR="00A37A79" w:rsidRDefault="00A37A79" w:rsidP="00CE5C34">
            <w:pPr>
              <w:rPr>
                <w:b/>
                <w:u w:val="single"/>
              </w:rPr>
            </w:pPr>
          </w:p>
          <w:p w14:paraId="60D911DB" w14:textId="26C2A0A3" w:rsidR="00F66A8B" w:rsidRDefault="00A37A79" w:rsidP="00CE5C34">
            <w:pPr>
              <w:rPr>
                <w:sz w:val="24"/>
                <w:szCs w:val="24"/>
              </w:rPr>
            </w:pPr>
            <w:r w:rsidRPr="005632A0">
              <w:rPr>
                <w:b/>
              </w:rPr>
              <w:t xml:space="preserve">Chair: </w:t>
            </w:r>
            <w:r w:rsidR="00F66A8B">
              <w:t xml:space="preserve">Karen Cooke, </w:t>
            </w:r>
            <w:r w:rsidR="00F66A8B" w:rsidRPr="00F66A8B">
              <w:t xml:space="preserve">Senior </w:t>
            </w:r>
            <w:r w:rsidR="00F66A8B" w:rsidRPr="00C47B2F">
              <w:rPr>
                <w:sz w:val="24"/>
                <w:szCs w:val="24"/>
              </w:rPr>
              <w:t>HR B</w:t>
            </w:r>
            <w:r w:rsidR="00F66A8B">
              <w:rPr>
                <w:sz w:val="24"/>
                <w:szCs w:val="24"/>
              </w:rPr>
              <w:t xml:space="preserve">usiness </w:t>
            </w:r>
            <w:r w:rsidR="00F66A8B" w:rsidRPr="00C47B2F">
              <w:rPr>
                <w:sz w:val="24"/>
                <w:szCs w:val="24"/>
              </w:rPr>
              <w:t>P</w:t>
            </w:r>
            <w:r w:rsidR="00F66A8B">
              <w:rPr>
                <w:sz w:val="24"/>
                <w:szCs w:val="24"/>
              </w:rPr>
              <w:t xml:space="preserve">artner, </w:t>
            </w:r>
            <w:r w:rsidR="00F66A8B" w:rsidRPr="00C47B2F">
              <w:rPr>
                <w:sz w:val="24"/>
                <w:szCs w:val="24"/>
              </w:rPr>
              <w:t>H</w:t>
            </w:r>
            <w:r w:rsidR="00F66A8B">
              <w:rPr>
                <w:sz w:val="24"/>
                <w:szCs w:val="24"/>
              </w:rPr>
              <w:t xml:space="preserve">argreaves </w:t>
            </w:r>
            <w:r w:rsidR="00F66A8B" w:rsidRPr="00C47B2F">
              <w:rPr>
                <w:sz w:val="24"/>
                <w:szCs w:val="24"/>
              </w:rPr>
              <w:t>L</w:t>
            </w:r>
            <w:r w:rsidR="00F66A8B">
              <w:rPr>
                <w:sz w:val="24"/>
                <w:szCs w:val="24"/>
              </w:rPr>
              <w:t xml:space="preserve">ansdown </w:t>
            </w:r>
          </w:p>
          <w:p w14:paraId="13994603" w14:textId="77777777" w:rsidR="00414065" w:rsidRPr="00414065" w:rsidRDefault="00414065" w:rsidP="00CE5C34">
            <w:pPr>
              <w:rPr>
                <w:sz w:val="24"/>
                <w:szCs w:val="24"/>
              </w:rPr>
            </w:pPr>
          </w:p>
          <w:p w14:paraId="7AD286EE" w14:textId="77777777" w:rsidR="00A37A79" w:rsidRPr="005632A0" w:rsidRDefault="00A37A79" w:rsidP="00CE5C34">
            <w:pPr>
              <w:rPr>
                <w:b/>
              </w:rPr>
            </w:pPr>
            <w:r w:rsidRPr="005632A0">
              <w:rPr>
                <w:b/>
              </w:rPr>
              <w:t>Current partner organisations:</w:t>
            </w:r>
          </w:p>
          <w:p w14:paraId="28438D4C" w14:textId="77777777" w:rsidR="00A37A79" w:rsidRDefault="00A37A79" w:rsidP="00CE5C34">
            <w:r>
              <w:t>Windmill Hill City Farm, Burges Salmon, Ovo Energy</w:t>
            </w:r>
          </w:p>
          <w:p w14:paraId="0D152ED1" w14:textId="02730F66" w:rsidR="008109D0" w:rsidRPr="005632A0" w:rsidRDefault="008109D0" w:rsidP="00CE5C34"/>
        </w:tc>
      </w:tr>
      <w:tr w:rsidR="00A37A79" w14:paraId="48E5D020" w14:textId="77777777" w:rsidTr="00FA0339">
        <w:tc>
          <w:tcPr>
            <w:tcW w:w="2093" w:type="dxa"/>
          </w:tcPr>
          <w:p w14:paraId="3D583120" w14:textId="77777777" w:rsidR="00A37A79" w:rsidRPr="005632A0" w:rsidRDefault="00A37A79" w:rsidP="00CE5C34">
            <w:pPr>
              <w:rPr>
                <w:b/>
              </w:rPr>
            </w:pPr>
            <w:r w:rsidRPr="005632A0">
              <w:rPr>
                <w:b/>
              </w:rPr>
              <w:t>Aims</w:t>
            </w:r>
          </w:p>
        </w:tc>
        <w:tc>
          <w:tcPr>
            <w:tcW w:w="7149" w:type="dxa"/>
          </w:tcPr>
          <w:p w14:paraId="4290666A" w14:textId="77777777" w:rsidR="00F66A8B" w:rsidRDefault="00F66A8B" w:rsidP="00CE5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support organisations across the region to access and embed policy and guidance to help create mentally healthy workplaces – equipping them to prevent mental ill health, and to provide timely support when people have health difficulties.</w:t>
            </w:r>
          </w:p>
          <w:p w14:paraId="6390E674" w14:textId="7CB267D1" w:rsidR="008109D0" w:rsidRDefault="008109D0" w:rsidP="00CE5C34">
            <w:pPr>
              <w:rPr>
                <w:b/>
                <w:u w:val="single"/>
              </w:rPr>
            </w:pPr>
          </w:p>
        </w:tc>
      </w:tr>
      <w:tr w:rsidR="00A37A79" w14:paraId="59D3EB89" w14:textId="77777777" w:rsidTr="00FA0339">
        <w:tc>
          <w:tcPr>
            <w:tcW w:w="2093" w:type="dxa"/>
          </w:tcPr>
          <w:p w14:paraId="336E2940" w14:textId="77777777" w:rsidR="00A37A79" w:rsidRPr="00A37A79" w:rsidRDefault="00A37A79" w:rsidP="00CE5C34">
            <w:pPr>
              <w:rPr>
                <w:b/>
              </w:rPr>
            </w:pPr>
            <w:r w:rsidRPr="00A37A79">
              <w:rPr>
                <w:b/>
              </w:rPr>
              <w:t>Approach</w:t>
            </w:r>
          </w:p>
          <w:p w14:paraId="24315CFC" w14:textId="77777777" w:rsidR="00A37A79" w:rsidRPr="00A37A79" w:rsidRDefault="00A37A79" w:rsidP="00CE5C34"/>
        </w:tc>
        <w:tc>
          <w:tcPr>
            <w:tcW w:w="7149" w:type="dxa"/>
          </w:tcPr>
          <w:p w14:paraId="163AED7E" w14:textId="77777777" w:rsidR="008109D0" w:rsidRDefault="00F66A8B" w:rsidP="00CE5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develop tools based on </w:t>
            </w:r>
            <w:r w:rsidRPr="00C47B2F">
              <w:rPr>
                <w:sz w:val="24"/>
                <w:szCs w:val="24"/>
              </w:rPr>
              <w:t xml:space="preserve">best practice </w:t>
            </w:r>
            <w:r>
              <w:rPr>
                <w:sz w:val="24"/>
                <w:szCs w:val="24"/>
              </w:rPr>
              <w:t xml:space="preserve">and the group’s experience – such as a template mental health policy and a template mental health action plan. </w:t>
            </w:r>
          </w:p>
          <w:p w14:paraId="6FE76807" w14:textId="77777777" w:rsidR="008109D0" w:rsidRDefault="008109D0" w:rsidP="00CE5C34">
            <w:pPr>
              <w:rPr>
                <w:sz w:val="24"/>
                <w:szCs w:val="24"/>
              </w:rPr>
            </w:pPr>
          </w:p>
          <w:p w14:paraId="4A19C629" w14:textId="6345A90C" w:rsidR="00A37A79" w:rsidRPr="008109D0" w:rsidRDefault="00F66A8B" w:rsidP="00CE5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test these with </w:t>
            </w:r>
            <w:r w:rsidR="008109D0">
              <w:rPr>
                <w:sz w:val="24"/>
                <w:szCs w:val="24"/>
              </w:rPr>
              <w:t xml:space="preserve">local </w:t>
            </w:r>
            <w:r>
              <w:rPr>
                <w:sz w:val="24"/>
                <w:szCs w:val="24"/>
              </w:rPr>
              <w:t>organisations</w:t>
            </w:r>
            <w:r w:rsidR="008109D0">
              <w:rPr>
                <w:sz w:val="24"/>
                <w:szCs w:val="24"/>
              </w:rPr>
              <w:t xml:space="preserve"> (SMEs – including those without HR support)</w:t>
            </w:r>
            <w:r>
              <w:rPr>
                <w:sz w:val="24"/>
                <w:szCs w:val="24"/>
              </w:rPr>
              <w:t xml:space="preserve"> to assess their impact. The a</w:t>
            </w:r>
            <w:r w:rsidR="008109D0">
              <w:rPr>
                <w:sz w:val="24"/>
                <w:szCs w:val="24"/>
              </w:rPr>
              <w:t xml:space="preserve">ction group will </w:t>
            </w:r>
            <w:r>
              <w:rPr>
                <w:sz w:val="24"/>
                <w:szCs w:val="24"/>
              </w:rPr>
              <w:t xml:space="preserve">offer </w:t>
            </w:r>
            <w:r w:rsidRPr="00C47B2F">
              <w:rPr>
                <w:sz w:val="24"/>
                <w:szCs w:val="24"/>
              </w:rPr>
              <w:t>coaching</w:t>
            </w:r>
            <w:r>
              <w:rPr>
                <w:sz w:val="24"/>
                <w:szCs w:val="24"/>
              </w:rPr>
              <w:t xml:space="preserve"> to guide the </w:t>
            </w:r>
            <w:r w:rsidR="008109D0">
              <w:rPr>
                <w:sz w:val="24"/>
                <w:szCs w:val="24"/>
              </w:rPr>
              <w:t xml:space="preserve">organisations </w:t>
            </w:r>
            <w:r>
              <w:rPr>
                <w:sz w:val="24"/>
                <w:szCs w:val="24"/>
              </w:rPr>
              <w:t xml:space="preserve">implementing these tools, to aid this approach and gain a better understanding of the support needed. </w:t>
            </w:r>
          </w:p>
        </w:tc>
      </w:tr>
      <w:tr w:rsidR="00A37A79" w:rsidRPr="005632A0" w14:paraId="2F937C06" w14:textId="77777777" w:rsidTr="00FA0339">
        <w:tc>
          <w:tcPr>
            <w:tcW w:w="2093" w:type="dxa"/>
          </w:tcPr>
          <w:p w14:paraId="1188A2C9" w14:textId="36605DEB" w:rsidR="00A37A79" w:rsidRDefault="00A37A79" w:rsidP="00CE5C34">
            <w:pPr>
              <w:rPr>
                <w:b/>
                <w:u w:val="single"/>
              </w:rPr>
            </w:pPr>
            <w:r>
              <w:rPr>
                <w:b/>
                <w:noProof/>
                <w:u w:val="single"/>
                <w:lang w:eastAsia="en-GB"/>
              </w:rPr>
              <w:lastRenderedPageBreak/>
              <w:drawing>
                <wp:inline distT="0" distB="0" distL="0" distR="0" wp14:anchorId="29FFD1AC" wp14:editId="752CF789">
                  <wp:extent cx="1191895" cy="496570"/>
                  <wp:effectExtent l="0" t="0" r="825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loitt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895" cy="496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D9A17B" w14:textId="77777777" w:rsidR="00A37A79" w:rsidRDefault="00A37A79" w:rsidP="00CE5C34">
            <w:pPr>
              <w:rPr>
                <w:b/>
                <w:u w:val="single"/>
              </w:rPr>
            </w:pPr>
          </w:p>
          <w:p w14:paraId="5514C8D2" w14:textId="77777777" w:rsidR="00A37A79" w:rsidRDefault="00A37A79" w:rsidP="00CE5C34">
            <w:pPr>
              <w:rPr>
                <w:b/>
                <w:u w:val="single"/>
              </w:rPr>
            </w:pPr>
          </w:p>
          <w:p w14:paraId="1968F1AA" w14:textId="77777777" w:rsidR="00A37A79" w:rsidRDefault="00A37A79" w:rsidP="00CE5C34">
            <w:pPr>
              <w:rPr>
                <w:b/>
                <w:u w:val="single"/>
              </w:rPr>
            </w:pPr>
          </w:p>
        </w:tc>
        <w:tc>
          <w:tcPr>
            <w:tcW w:w="7149" w:type="dxa"/>
          </w:tcPr>
          <w:p w14:paraId="6A0BC446" w14:textId="77FE8538" w:rsidR="00A37A79" w:rsidRPr="002302FF" w:rsidRDefault="00A37A79" w:rsidP="00CE5C34">
            <w:r>
              <w:rPr>
                <w:b/>
              </w:rPr>
              <w:t>Leadership</w:t>
            </w:r>
            <w:r w:rsidRPr="005632A0">
              <w:rPr>
                <w:b/>
              </w:rPr>
              <w:t xml:space="preserve"> Group</w:t>
            </w:r>
          </w:p>
          <w:p w14:paraId="60759023" w14:textId="77777777" w:rsidR="00A37A79" w:rsidRDefault="00A37A79" w:rsidP="00CE5C34">
            <w:pPr>
              <w:rPr>
                <w:b/>
                <w:u w:val="single"/>
              </w:rPr>
            </w:pPr>
          </w:p>
          <w:p w14:paraId="387E29BE" w14:textId="77777777" w:rsidR="008109D0" w:rsidRDefault="00A37A79" w:rsidP="00CE5C34">
            <w:pPr>
              <w:rPr>
                <w:bCs/>
              </w:rPr>
            </w:pPr>
            <w:r w:rsidRPr="005632A0">
              <w:rPr>
                <w:b/>
              </w:rPr>
              <w:t xml:space="preserve">Chair: </w:t>
            </w:r>
            <w:r w:rsidRPr="00A37A79">
              <w:t>Adam Powell</w:t>
            </w:r>
            <w:r w:rsidR="008109D0">
              <w:t xml:space="preserve">, </w:t>
            </w:r>
            <w:r w:rsidR="008109D0">
              <w:rPr>
                <w:bCs/>
              </w:rPr>
              <w:t>Senior Tax Partner, Deloitte</w:t>
            </w:r>
          </w:p>
          <w:p w14:paraId="1B4CB9F2" w14:textId="77777777" w:rsidR="00A37A79" w:rsidRDefault="00A37A79" w:rsidP="00CE5C34">
            <w:pPr>
              <w:rPr>
                <w:b/>
                <w:u w:val="single"/>
              </w:rPr>
            </w:pPr>
          </w:p>
          <w:p w14:paraId="69863920" w14:textId="77777777" w:rsidR="00A37A79" w:rsidRPr="005632A0" w:rsidRDefault="00A37A79" w:rsidP="00CE5C34">
            <w:pPr>
              <w:rPr>
                <w:b/>
              </w:rPr>
            </w:pPr>
            <w:r w:rsidRPr="005632A0">
              <w:rPr>
                <w:b/>
              </w:rPr>
              <w:t>Current partner organisations:</w:t>
            </w:r>
          </w:p>
          <w:p w14:paraId="5D4A7403" w14:textId="49B28CCF" w:rsidR="00A37A79" w:rsidRPr="00654C67" w:rsidRDefault="00A37A79" w:rsidP="00CE5C34">
            <w:r w:rsidRPr="00654C67">
              <w:t>In development</w:t>
            </w:r>
            <w:r w:rsidR="00654C67" w:rsidRPr="00654C67">
              <w:t xml:space="preserve"> – collaborating with the University of the West of England’s</w:t>
            </w:r>
            <w:r w:rsidR="00654C67" w:rsidRPr="00654C67">
              <w:rPr>
                <w:color w:val="000000"/>
                <w:shd w:val="clear" w:color="auto" w:fill="FFFFFF"/>
              </w:rPr>
              <w:t> Leadership and Change Centre</w:t>
            </w:r>
            <w:r w:rsidR="00654C67">
              <w:rPr>
                <w:color w:val="000000"/>
                <w:shd w:val="clear" w:color="auto" w:fill="FFFFFF"/>
              </w:rPr>
              <w:t xml:space="preserve"> and </w:t>
            </w:r>
            <w:r w:rsidR="009E3C6A">
              <w:rPr>
                <w:color w:val="000000"/>
                <w:shd w:val="clear" w:color="auto" w:fill="FFFFFF"/>
              </w:rPr>
              <w:t xml:space="preserve">the </w:t>
            </w:r>
            <w:r w:rsidR="00654C67">
              <w:rPr>
                <w:color w:val="000000"/>
                <w:shd w:val="clear" w:color="auto" w:fill="FFFFFF"/>
              </w:rPr>
              <w:t xml:space="preserve">NHS Leadership Academy. </w:t>
            </w:r>
          </w:p>
          <w:p w14:paraId="0C518CCE" w14:textId="77777777" w:rsidR="00A37A79" w:rsidRPr="005632A0" w:rsidRDefault="00A37A79" w:rsidP="00CE5C34"/>
        </w:tc>
      </w:tr>
      <w:tr w:rsidR="00A37A79" w14:paraId="79BA3844" w14:textId="77777777" w:rsidTr="00FA0339">
        <w:tc>
          <w:tcPr>
            <w:tcW w:w="2093" w:type="dxa"/>
          </w:tcPr>
          <w:p w14:paraId="4809CD11" w14:textId="77777777" w:rsidR="00A37A79" w:rsidRPr="005632A0" w:rsidRDefault="00A37A79" w:rsidP="00CE5C34">
            <w:pPr>
              <w:rPr>
                <w:b/>
              </w:rPr>
            </w:pPr>
            <w:r w:rsidRPr="005632A0">
              <w:rPr>
                <w:b/>
              </w:rPr>
              <w:t>Aims</w:t>
            </w:r>
          </w:p>
        </w:tc>
        <w:tc>
          <w:tcPr>
            <w:tcW w:w="7149" w:type="dxa"/>
          </w:tcPr>
          <w:p w14:paraId="42875874" w14:textId="114A548B" w:rsidR="008109D0" w:rsidRDefault="008109D0" w:rsidP="00CE5C34">
            <w:pPr>
              <w:rPr>
                <w:b/>
                <w:u w:val="single"/>
              </w:rPr>
            </w:pPr>
            <w:r w:rsidRPr="008109D0">
              <w:t xml:space="preserve">To </w:t>
            </w:r>
            <w:r>
              <w:t>test approaches to better understand how leaders can be</w:t>
            </w:r>
            <w:r w:rsidR="001C3412">
              <w:t xml:space="preserve"> supported to lead </w:t>
            </w:r>
            <w:r w:rsidR="00696515">
              <w:t>mentally healthy</w:t>
            </w:r>
            <w:r>
              <w:t xml:space="preserve"> and compassionate organisation</w:t>
            </w:r>
            <w:r w:rsidR="00696515">
              <w:t>s</w:t>
            </w:r>
            <w:r>
              <w:t xml:space="preserve">. </w:t>
            </w:r>
          </w:p>
          <w:p w14:paraId="3B0CEBAE" w14:textId="77777777" w:rsidR="008109D0" w:rsidRDefault="008109D0" w:rsidP="00CE5C34">
            <w:pPr>
              <w:rPr>
                <w:b/>
                <w:u w:val="single"/>
              </w:rPr>
            </w:pPr>
          </w:p>
        </w:tc>
      </w:tr>
      <w:tr w:rsidR="00A37A79" w14:paraId="3CD73A8C" w14:textId="77777777" w:rsidTr="00FA0339">
        <w:tc>
          <w:tcPr>
            <w:tcW w:w="2093" w:type="dxa"/>
          </w:tcPr>
          <w:p w14:paraId="780D8289" w14:textId="77777777" w:rsidR="00A37A79" w:rsidRPr="00A37A79" w:rsidRDefault="00A37A79" w:rsidP="00CE5C34">
            <w:pPr>
              <w:rPr>
                <w:b/>
              </w:rPr>
            </w:pPr>
            <w:r w:rsidRPr="00A37A79">
              <w:rPr>
                <w:b/>
              </w:rPr>
              <w:t>Approach</w:t>
            </w:r>
          </w:p>
          <w:p w14:paraId="3955A919" w14:textId="77777777" w:rsidR="00A37A79" w:rsidRPr="00A37A79" w:rsidRDefault="00A37A79" w:rsidP="00CE5C34"/>
        </w:tc>
        <w:tc>
          <w:tcPr>
            <w:tcW w:w="7149" w:type="dxa"/>
          </w:tcPr>
          <w:p w14:paraId="23D7277A" w14:textId="77777777" w:rsidR="00567816" w:rsidRDefault="00567816" w:rsidP="00567816">
            <w:r w:rsidRPr="00A6079E">
              <w:t>Senior leaders play a key role in helping to prioritise mental health and wellbeing in a workplace; in supporting positive improvements in culture and practice; and in transforming how mental health is seen and talked about amongst employees if they themselves can</w:t>
            </w:r>
            <w:r>
              <w:t xml:space="preserve"> be open</w:t>
            </w:r>
            <w:r w:rsidRPr="00A6079E">
              <w:t xml:space="preserve">. </w:t>
            </w:r>
            <w:r>
              <w:t xml:space="preserve"> </w:t>
            </w:r>
            <w:r w:rsidRPr="00A6079E">
              <w:t>Alongside this, senior leaders have a key role in providing transparency and accounta</w:t>
            </w:r>
            <w:r>
              <w:t xml:space="preserve">bility around progress made. </w:t>
            </w:r>
          </w:p>
          <w:p w14:paraId="10122680" w14:textId="77777777" w:rsidR="00567816" w:rsidRPr="00A6079E" w:rsidRDefault="00567816" w:rsidP="00567816"/>
          <w:p w14:paraId="235BB24D" w14:textId="7C11FBDA" w:rsidR="00567816" w:rsidRDefault="00567816" w:rsidP="00567816">
            <w:r w:rsidRPr="00A6079E">
              <w:t>This project group aims to</w:t>
            </w:r>
            <w:r w:rsidR="00883169" w:rsidRPr="001C5B2A">
              <w:t xml:space="preserve"> better understand how senior leaders can be supported – through other senior leaders – to</w:t>
            </w:r>
            <w:r w:rsidR="00BE1D32">
              <w:t xml:space="preserve"> improve m</w:t>
            </w:r>
            <w:r w:rsidR="00883169" w:rsidRPr="001C5B2A">
              <w:t xml:space="preserve">ental </w:t>
            </w:r>
            <w:r w:rsidR="00BE1D32">
              <w:t xml:space="preserve">health and </w:t>
            </w:r>
            <w:r w:rsidR="00883169" w:rsidRPr="001C5B2A">
              <w:t xml:space="preserve">wellbeing within their organisations.  </w:t>
            </w:r>
            <w:r>
              <w:t>We are currently gaining feedback from partners around our approach, but envision:</w:t>
            </w:r>
          </w:p>
          <w:p w14:paraId="48C7918D" w14:textId="77777777" w:rsidR="00567816" w:rsidRDefault="00567816" w:rsidP="00567816"/>
          <w:p w14:paraId="0FD3F77C" w14:textId="34B46219" w:rsidR="00567816" w:rsidRDefault="00567816" w:rsidP="00567816">
            <w:pPr>
              <w:pStyle w:val="ListParagraph"/>
              <w:numPr>
                <w:ilvl w:val="0"/>
                <w:numId w:val="35"/>
              </w:numPr>
            </w:pPr>
            <w:r>
              <w:t>Creating an ‘Action Learni</w:t>
            </w:r>
            <w:r w:rsidR="001C3412">
              <w:t>ng Set’ of local senior leaders</w:t>
            </w:r>
            <w:r>
              <w:t xml:space="preserve"> (likely to be those who are responsible for a workforce of 100+ people)</w:t>
            </w:r>
            <w:r w:rsidR="001C3412">
              <w:t>.</w:t>
            </w:r>
          </w:p>
          <w:p w14:paraId="51CA1CC6" w14:textId="7361A13C" w:rsidR="00567816" w:rsidRDefault="00567816" w:rsidP="00567816">
            <w:pPr>
              <w:pStyle w:val="ListParagraph"/>
              <w:numPr>
                <w:ilvl w:val="0"/>
                <w:numId w:val="35"/>
              </w:numPr>
            </w:pPr>
            <w:r>
              <w:t xml:space="preserve">Creating an ‘Action Learning Set’ of emerging leaders. </w:t>
            </w:r>
          </w:p>
          <w:p w14:paraId="51BEB1C5" w14:textId="722D4955" w:rsidR="00567816" w:rsidRDefault="00567816" w:rsidP="00567816">
            <w:pPr>
              <w:pStyle w:val="ListParagraph"/>
              <w:numPr>
                <w:ilvl w:val="0"/>
                <w:numId w:val="35"/>
              </w:numPr>
            </w:pPr>
            <w:r>
              <w:t>Testing this approach and evaluat</w:t>
            </w:r>
            <w:r w:rsidR="001C3412">
              <w:t>ing</w:t>
            </w:r>
            <w:r>
              <w:t xml:space="preserve"> the impact on the individuals, their organisation and the region, of creating a community of practice of leaders</w:t>
            </w:r>
            <w:r w:rsidR="00D54578">
              <w:t xml:space="preserve"> from diverse backgrounds, including those with lived experience of mental ill health</w:t>
            </w:r>
            <w:r w:rsidR="001C3412">
              <w:t xml:space="preserve">, </w:t>
            </w:r>
            <w:r>
              <w:t xml:space="preserve">supporting each other to make progress in creating mentally healthy workplaces. </w:t>
            </w:r>
          </w:p>
          <w:p w14:paraId="2644EA24" w14:textId="4156F8CC" w:rsidR="009E3C6A" w:rsidRPr="001C3412" w:rsidRDefault="00FD26F1" w:rsidP="009E3C6A">
            <w:pPr>
              <w:pStyle w:val="ListParagraph"/>
              <w:numPr>
                <w:ilvl w:val="0"/>
                <w:numId w:val="35"/>
              </w:numPr>
            </w:pPr>
            <w:r>
              <w:t>E</w:t>
            </w:r>
            <w:r w:rsidR="00567816">
              <w:t>xplore the impact of</w:t>
            </w:r>
            <w:r w:rsidR="00654C67">
              <w:t xml:space="preserve"> other</w:t>
            </w:r>
            <w:r w:rsidR="00567816">
              <w:t xml:space="preserve"> interventions</w:t>
            </w:r>
            <w:r w:rsidR="00654C67">
              <w:t>; for</w:t>
            </w:r>
            <w:r w:rsidR="00567816">
              <w:t xml:space="preserve"> </w:t>
            </w:r>
            <w:r w:rsidR="00654C67">
              <w:t xml:space="preserve">example, </w:t>
            </w:r>
            <w:r w:rsidR="00567816">
              <w:t>reverse mentoring (possibly between both groups)</w:t>
            </w:r>
            <w:r w:rsidR="00654C67">
              <w:t>.</w:t>
            </w:r>
          </w:p>
        </w:tc>
      </w:tr>
    </w:tbl>
    <w:p w14:paraId="65630B04" w14:textId="77777777" w:rsidR="00DC442C" w:rsidRDefault="00DC442C" w:rsidP="00CE5C34">
      <w:pPr>
        <w:spacing w:after="0" w:line="240" w:lineRule="auto"/>
      </w:pPr>
    </w:p>
    <w:p w14:paraId="47944CAC" w14:textId="6AA761CB" w:rsidR="008109D0" w:rsidRDefault="008109D0" w:rsidP="00CE5C34">
      <w:pPr>
        <w:spacing w:after="0" w:line="240" w:lineRule="auto"/>
      </w:pPr>
      <w:r>
        <w:t>To note, these Action Groups are in development and we are still looking for a small number of additional partners from across the region to join them</w:t>
      </w:r>
      <w:r w:rsidR="001C3412">
        <w:t>, and many more partners to be involved in testing interventions</w:t>
      </w:r>
      <w:r>
        <w:t xml:space="preserve">. </w:t>
      </w:r>
    </w:p>
    <w:p w14:paraId="1F4E4218" w14:textId="77777777" w:rsidR="008109D0" w:rsidRDefault="008109D0" w:rsidP="00CE5C34">
      <w:pPr>
        <w:spacing w:after="0" w:line="240" w:lineRule="auto"/>
      </w:pPr>
    </w:p>
    <w:p w14:paraId="7322EC4C" w14:textId="77777777" w:rsidR="00445F4D" w:rsidRPr="004C7E33" w:rsidRDefault="00445F4D" w:rsidP="00CE5C34">
      <w:pPr>
        <w:spacing w:after="0" w:line="240" w:lineRule="auto"/>
        <w:rPr>
          <w:b/>
        </w:rPr>
      </w:pPr>
    </w:p>
    <w:p w14:paraId="502CB509" w14:textId="02B3E24A" w:rsidR="00CA13CC" w:rsidRDefault="008109D0" w:rsidP="00CE5C34">
      <w:pPr>
        <w:spacing w:after="0" w:line="240" w:lineRule="auto"/>
        <w:rPr>
          <w:b/>
        </w:rPr>
      </w:pPr>
      <w:r>
        <w:rPr>
          <w:b/>
        </w:rPr>
        <w:t>5.)</w:t>
      </w:r>
      <w:r w:rsidR="00445F4D">
        <w:rPr>
          <w:b/>
        </w:rPr>
        <w:t xml:space="preserve"> </w:t>
      </w:r>
      <w:r w:rsidR="00CA13CC" w:rsidRPr="006962F2">
        <w:rPr>
          <w:b/>
          <w:u w:val="single"/>
        </w:rPr>
        <w:t xml:space="preserve">National Thriving at Work </w:t>
      </w:r>
      <w:r w:rsidR="00926551" w:rsidRPr="006962F2">
        <w:rPr>
          <w:b/>
          <w:u w:val="single"/>
        </w:rPr>
        <w:t>alignment</w:t>
      </w:r>
    </w:p>
    <w:p w14:paraId="5285D400" w14:textId="77777777" w:rsidR="00445F4D" w:rsidRPr="004C7E33" w:rsidRDefault="00445F4D" w:rsidP="00CE5C34">
      <w:pPr>
        <w:spacing w:after="0" w:line="240" w:lineRule="auto"/>
        <w:rPr>
          <w:b/>
        </w:rPr>
      </w:pPr>
    </w:p>
    <w:p w14:paraId="6B680243" w14:textId="3A9BE9D8" w:rsidR="00CA13CC" w:rsidRDefault="00050CF7" w:rsidP="00CE5C34">
      <w:pPr>
        <w:spacing w:after="0" w:line="240" w:lineRule="auto"/>
      </w:pPr>
      <w:r w:rsidRPr="00445F4D">
        <w:t xml:space="preserve">This work is closely aligned with the national Thriving at Work programme, led by </w:t>
      </w:r>
      <w:r w:rsidR="008109D0">
        <w:t xml:space="preserve">Mind, </w:t>
      </w:r>
      <w:r w:rsidRPr="00445F4D">
        <w:t>the Department of Work and Pensions</w:t>
      </w:r>
      <w:r w:rsidR="008109D0">
        <w:t xml:space="preserve"> and</w:t>
      </w:r>
      <w:r w:rsidRPr="00445F4D">
        <w:t xml:space="preserve"> the</w:t>
      </w:r>
      <w:r w:rsidR="008109D0">
        <w:t xml:space="preserve"> Department of Health. We are encouraging all participating organisations to sign the ‘Thriving at Work Leadership Council’s ‘Mental Health at Work Commitment’</w:t>
      </w:r>
      <w:r w:rsidR="00B64195">
        <w:t xml:space="preserve">. Bristol was the first to sign as a city and aims </w:t>
      </w:r>
      <w:r w:rsidR="008109D0">
        <w:t xml:space="preserve">for at least 50 Bristol employers to sign </w:t>
      </w:r>
      <w:r w:rsidR="00B64195">
        <w:t>up over the year ahead</w:t>
      </w:r>
      <w:r w:rsidR="008109D0">
        <w:t xml:space="preserve">. </w:t>
      </w:r>
    </w:p>
    <w:p w14:paraId="521D5439" w14:textId="77777777" w:rsidR="008109D0" w:rsidRDefault="008109D0" w:rsidP="00CE5C34">
      <w:pPr>
        <w:spacing w:after="0" w:line="240" w:lineRule="auto"/>
      </w:pPr>
    </w:p>
    <w:p w14:paraId="320C35FD" w14:textId="4E997059" w:rsidR="00050CF7" w:rsidRDefault="008109D0" w:rsidP="00CE5C34">
      <w:pPr>
        <w:spacing w:after="0" w:line="240" w:lineRule="auto"/>
      </w:pPr>
      <w:r>
        <w:t xml:space="preserve">This work is testing approaches to embed the </w:t>
      </w:r>
      <w:r w:rsidR="00B64195">
        <w:t xml:space="preserve">‘Thriving at Work’ </w:t>
      </w:r>
      <w:r>
        <w:t xml:space="preserve">6 core standards, becoming </w:t>
      </w:r>
      <w:r w:rsidR="00050CF7" w:rsidRPr="00445F4D">
        <w:t>an implementation area for the</w:t>
      </w:r>
      <w:r>
        <w:t xml:space="preserve"> national </w:t>
      </w:r>
      <w:r w:rsidRPr="00445F4D">
        <w:t>Thriving at</w:t>
      </w:r>
      <w:r>
        <w:t xml:space="preserve"> Work Leadership Council’s </w:t>
      </w:r>
      <w:r w:rsidR="00050CF7" w:rsidRPr="00445F4D">
        <w:t xml:space="preserve">programme. This enables our local efforts to be informed by national expertise with learning shared between us. </w:t>
      </w:r>
    </w:p>
    <w:p w14:paraId="40938539" w14:textId="77777777" w:rsidR="009E3C6A" w:rsidRDefault="009E3C6A" w:rsidP="00CE5C34">
      <w:pPr>
        <w:spacing w:after="0" w:line="240" w:lineRule="auto"/>
      </w:pPr>
    </w:p>
    <w:p w14:paraId="38E8A5C8" w14:textId="6566E393" w:rsidR="00CA13CC" w:rsidRDefault="008109D0" w:rsidP="00CE5C34">
      <w:pPr>
        <w:spacing w:after="0" w:line="240" w:lineRule="auto"/>
        <w:rPr>
          <w:b/>
        </w:rPr>
      </w:pPr>
      <w:r w:rsidRPr="00D91186">
        <w:rPr>
          <w:b/>
        </w:rPr>
        <w:lastRenderedPageBreak/>
        <w:t>5</w:t>
      </w:r>
      <w:r w:rsidR="00445F4D">
        <w:rPr>
          <w:b/>
        </w:rPr>
        <w:t xml:space="preserve">) </w:t>
      </w:r>
      <w:r w:rsidR="00B64195">
        <w:rPr>
          <w:b/>
          <w:u w:val="single"/>
        </w:rPr>
        <w:t>Evaluation</w:t>
      </w:r>
      <w:r w:rsidR="00CA13CC" w:rsidRPr="006962F2">
        <w:rPr>
          <w:b/>
          <w:u w:val="single"/>
        </w:rPr>
        <w:t xml:space="preserve"> </w:t>
      </w:r>
    </w:p>
    <w:p w14:paraId="1DD019D2" w14:textId="77777777" w:rsidR="00445F4D" w:rsidRPr="004C7E33" w:rsidRDefault="00445F4D" w:rsidP="00CE5C34">
      <w:pPr>
        <w:spacing w:after="0" w:line="240" w:lineRule="auto"/>
        <w:rPr>
          <w:b/>
        </w:rPr>
      </w:pPr>
    </w:p>
    <w:p w14:paraId="19F095DD" w14:textId="31445135" w:rsidR="00B64195" w:rsidRDefault="00696515" w:rsidP="00CE5C34">
      <w:pPr>
        <w:spacing w:after="0" w:line="240" w:lineRule="auto"/>
      </w:pPr>
      <w:r>
        <w:t xml:space="preserve">We are beginning to </w:t>
      </w:r>
      <w:r w:rsidR="00B64195">
        <w:t xml:space="preserve">develop an evaluation plan for this work with academic partners. </w:t>
      </w:r>
      <w:r w:rsidR="00D91186">
        <w:t>W</w:t>
      </w:r>
      <w:r w:rsidR="00CE5C34">
        <w:t xml:space="preserve">e </w:t>
      </w:r>
      <w:r w:rsidR="00D91186">
        <w:t xml:space="preserve">will </w:t>
      </w:r>
      <w:r w:rsidR="00CE5C34">
        <w:t xml:space="preserve">need to gather accurate </w:t>
      </w:r>
      <w:r w:rsidR="00B64195">
        <w:t xml:space="preserve">baseline data </w:t>
      </w:r>
      <w:r w:rsidR="00CE5C34">
        <w:t>from participating organisations ahead of interventions being tested</w:t>
      </w:r>
      <w:r w:rsidR="00D91186">
        <w:t xml:space="preserve">, and create a </w:t>
      </w:r>
      <w:r w:rsidR="00CE5C34">
        <w:t xml:space="preserve">consistent approach to measuring the impact of the interventions we test. </w:t>
      </w:r>
    </w:p>
    <w:p w14:paraId="3DB1FADB" w14:textId="77777777" w:rsidR="00B64195" w:rsidRPr="00445F4D" w:rsidRDefault="00B64195" w:rsidP="00CE5C34">
      <w:pPr>
        <w:spacing w:after="0" w:line="240" w:lineRule="auto"/>
      </w:pPr>
    </w:p>
    <w:p w14:paraId="48CB6DF3" w14:textId="3E1EBF57" w:rsidR="00CE5C34" w:rsidRDefault="00CE5C34" w:rsidP="00CE5C34">
      <w:pPr>
        <w:spacing w:after="0" w:line="240" w:lineRule="auto"/>
      </w:pPr>
      <w:r>
        <w:t>Outcome measurements are being developed through this, but are likely to include some of the following</w:t>
      </w:r>
      <w:r w:rsidR="001C3412">
        <w:t xml:space="preserve"> (aligning with the national Thriving at Work indicators)</w:t>
      </w:r>
      <w:r>
        <w:t>:</w:t>
      </w:r>
    </w:p>
    <w:p w14:paraId="378A7C66" w14:textId="45500666" w:rsidR="00CA13CC" w:rsidRPr="00445F4D" w:rsidRDefault="00CA13CC" w:rsidP="00CE5C34">
      <w:pPr>
        <w:pStyle w:val="ListParagraph"/>
        <w:numPr>
          <w:ilvl w:val="0"/>
          <w:numId w:val="29"/>
        </w:numPr>
        <w:spacing w:after="0" w:line="240" w:lineRule="auto"/>
      </w:pPr>
      <w:r w:rsidRPr="00445F4D">
        <w:t xml:space="preserve">% of people describing work having a negative impact on their mental health. </w:t>
      </w:r>
    </w:p>
    <w:p w14:paraId="5617981D" w14:textId="45DC5503" w:rsidR="00CA13CC" w:rsidRDefault="00CA13CC" w:rsidP="00CE5C34">
      <w:pPr>
        <w:pStyle w:val="ListParagraph"/>
        <w:numPr>
          <w:ilvl w:val="0"/>
          <w:numId w:val="29"/>
        </w:numPr>
        <w:spacing w:after="0" w:line="240" w:lineRule="auto"/>
      </w:pPr>
      <w:r w:rsidRPr="00445F4D">
        <w:t xml:space="preserve">% of people feeling comfortable talking about their mental health at work. </w:t>
      </w:r>
    </w:p>
    <w:p w14:paraId="640B30A3" w14:textId="2F545FE3" w:rsidR="004C7E33" w:rsidRDefault="004C7E33" w:rsidP="00CE5C34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% of people feeling comfortable talking to their manager about their mental health at work. </w:t>
      </w:r>
    </w:p>
    <w:p w14:paraId="6D42B2D2" w14:textId="20CC9E9A" w:rsidR="00DF6AB0" w:rsidRDefault="00DF6AB0" w:rsidP="00CE5C34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% of people feeling confident that their manager will take action to support their mental health at work. </w:t>
      </w:r>
    </w:p>
    <w:p w14:paraId="0F644E2E" w14:textId="77777777" w:rsidR="00852EFF" w:rsidRDefault="00852EFF" w:rsidP="00CE5C34">
      <w:pPr>
        <w:spacing w:after="0" w:line="240" w:lineRule="auto"/>
      </w:pPr>
    </w:p>
    <w:p w14:paraId="176BADB5" w14:textId="258F9308" w:rsidR="00CA13CC" w:rsidRDefault="00852EFF" w:rsidP="00CE5C34">
      <w:pPr>
        <w:spacing w:after="0" w:line="240" w:lineRule="auto"/>
      </w:pPr>
      <w:r>
        <w:t xml:space="preserve">We will </w:t>
      </w:r>
      <w:r w:rsidR="00CE5C34">
        <w:t xml:space="preserve">also </w:t>
      </w:r>
      <w:r>
        <w:t xml:space="preserve">be assessing our reach. For example, the number of employees this work covers, and the number of SMEs / larger organisations included. </w:t>
      </w:r>
      <w:r w:rsidR="00DF6AB0">
        <w:t>W</w:t>
      </w:r>
      <w:r>
        <w:t xml:space="preserve">e are also </w:t>
      </w:r>
      <w:r w:rsidR="00CA13CC" w:rsidRPr="00445F4D">
        <w:t>develop</w:t>
      </w:r>
      <w:r>
        <w:t>ing</w:t>
      </w:r>
      <w:r w:rsidR="00CA13CC" w:rsidRPr="00445F4D">
        <w:t xml:space="preserve"> mea</w:t>
      </w:r>
      <w:r w:rsidR="00445F4D" w:rsidRPr="00445F4D">
        <w:t>sures to determine whether</w:t>
      </w:r>
      <w:r w:rsidR="00CA13CC" w:rsidRPr="00445F4D">
        <w:t xml:space="preserve"> partners colla</w:t>
      </w:r>
      <w:r w:rsidR="00445F4D" w:rsidRPr="00445F4D">
        <w:t>borating as a system, helps</w:t>
      </w:r>
      <w:r w:rsidR="00CA13CC" w:rsidRPr="00445F4D">
        <w:t xml:space="preserve"> or hinder</w:t>
      </w:r>
      <w:r w:rsidR="00445F4D" w:rsidRPr="00445F4D">
        <w:t xml:space="preserve">s </w:t>
      </w:r>
      <w:r w:rsidR="00CA13CC" w:rsidRPr="00445F4D">
        <w:t xml:space="preserve">improvement. </w:t>
      </w:r>
    </w:p>
    <w:p w14:paraId="10085F98" w14:textId="77777777" w:rsidR="00CE5C34" w:rsidRDefault="00CE5C34" w:rsidP="00CE5C34">
      <w:pPr>
        <w:spacing w:after="0" w:line="240" w:lineRule="auto"/>
      </w:pPr>
    </w:p>
    <w:p w14:paraId="26B35C59" w14:textId="77777777" w:rsidR="00D91186" w:rsidRDefault="00D91186" w:rsidP="00CE5C34">
      <w:pPr>
        <w:spacing w:after="0" w:line="240" w:lineRule="auto"/>
      </w:pPr>
    </w:p>
    <w:p w14:paraId="71B754BF" w14:textId="213B08EB" w:rsidR="008D4B1A" w:rsidRPr="004C7E33" w:rsidRDefault="00CC56E0" w:rsidP="00CE5C34">
      <w:pPr>
        <w:spacing w:after="0" w:line="240" w:lineRule="auto"/>
        <w:rPr>
          <w:b/>
          <w:bCs/>
          <w:u w:val="single"/>
        </w:rPr>
      </w:pPr>
      <w:r w:rsidRPr="008D4B1A">
        <w:rPr>
          <w:b/>
          <w:bCs/>
        </w:rPr>
        <w:t>4.)</w:t>
      </w:r>
      <w:r w:rsidRPr="004C7E33">
        <w:rPr>
          <w:b/>
          <w:bCs/>
          <w:u w:val="single"/>
        </w:rPr>
        <w:t xml:space="preserve"> Governance and lead partners</w:t>
      </w:r>
    </w:p>
    <w:p w14:paraId="70D1D7A4" w14:textId="77777777" w:rsidR="008D4B1A" w:rsidRPr="004C7E33" w:rsidRDefault="008D4B1A" w:rsidP="00CE5C34">
      <w:pPr>
        <w:spacing w:after="0" w:line="240" w:lineRule="auto"/>
        <w:rPr>
          <w:b/>
          <w:bCs/>
        </w:rPr>
      </w:pPr>
    </w:p>
    <w:p w14:paraId="6E5CB83F" w14:textId="5E18F26A" w:rsidR="00CC56E0" w:rsidRDefault="00CC56E0" w:rsidP="00CE5C34">
      <w:pPr>
        <w:spacing w:after="0" w:line="240" w:lineRule="auto"/>
      </w:pPr>
      <w:r w:rsidRPr="00A6079E">
        <w:t>This work is being overseen by the Thrive Bristol Steering Group, which reports to Bristol’s Health and Wellbeing Bo</w:t>
      </w:r>
      <w:r w:rsidR="00D91186">
        <w:t>ard. T</w:t>
      </w:r>
      <w:r w:rsidRPr="00A6079E">
        <w:t xml:space="preserve">he partners on the </w:t>
      </w:r>
      <w:r w:rsidRPr="00A6079E">
        <w:rPr>
          <w:rFonts w:cs="Arial"/>
          <w:shd w:val="clear" w:color="auto" w:fill="FFFFFF"/>
        </w:rPr>
        <w:t>or</w:t>
      </w:r>
      <w:r w:rsidRPr="00A6079E">
        <w:t>iginal Thriving at Work Taskgroup have been invited to join the ‘Thriving at Work Stakeholder Group’.</w:t>
      </w:r>
      <w:r w:rsidRPr="00A6079E">
        <w:rPr>
          <w:b/>
        </w:rPr>
        <w:t xml:space="preserve"> </w:t>
      </w:r>
      <w:r w:rsidRPr="00A6079E">
        <w:t xml:space="preserve">This group’s role is to inform and shape Phase 2. </w:t>
      </w:r>
      <w:r w:rsidR="002F6FB7">
        <w:t>Public Health will share</w:t>
      </w:r>
      <w:r w:rsidRPr="00A6079E">
        <w:t xml:space="preserve"> updates with the Thrive Stakeholder Group, to keep partners informed of progress; share opportunities to be informed; and make requests for support. </w:t>
      </w:r>
    </w:p>
    <w:p w14:paraId="09F3C0D3" w14:textId="77777777" w:rsidR="00291267" w:rsidRDefault="00291267" w:rsidP="00CE5C34">
      <w:pPr>
        <w:spacing w:after="0" w:line="240" w:lineRule="auto"/>
      </w:pPr>
    </w:p>
    <w:p w14:paraId="501BBED9" w14:textId="3C9F4D30" w:rsidR="00CC56E0" w:rsidRDefault="00CC56E0" w:rsidP="00CE5C34">
      <w:pPr>
        <w:spacing w:after="0" w:line="240" w:lineRule="auto"/>
      </w:pPr>
      <w:r w:rsidRPr="00A6079E">
        <w:t>This work is being led by</w:t>
      </w:r>
      <w:r w:rsidR="00D91186">
        <w:t xml:space="preserve"> city employers, supported by Bristol City Council and </w:t>
      </w:r>
      <w:r w:rsidRPr="00A6079E">
        <w:t xml:space="preserve">Business West. </w:t>
      </w:r>
      <w:r w:rsidR="00AF3D9E">
        <w:t>We are working with the West of England Combined Authority and neighbouring local authorities to extend this approach through an emerging ‘Thrive West’</w:t>
      </w:r>
      <w:r w:rsidR="001C3412">
        <w:t xml:space="preserve"> programme</w:t>
      </w:r>
      <w:r w:rsidR="00AF3D9E">
        <w:t xml:space="preserve">. </w:t>
      </w:r>
    </w:p>
    <w:p w14:paraId="2C47FAD9" w14:textId="77777777" w:rsidR="00CE5C34" w:rsidRDefault="00CE5C34" w:rsidP="00CE5C34">
      <w:pPr>
        <w:spacing w:after="0" w:line="240" w:lineRule="auto"/>
      </w:pPr>
    </w:p>
    <w:p w14:paraId="4711A5B1" w14:textId="77777777" w:rsidR="00D91186" w:rsidRDefault="00D91186" w:rsidP="00CE5C34">
      <w:pPr>
        <w:spacing w:after="0" w:line="240" w:lineRule="auto"/>
      </w:pPr>
    </w:p>
    <w:p w14:paraId="6A881CF3" w14:textId="37BED6AF" w:rsidR="00CC56E0" w:rsidRDefault="00CC56E0" w:rsidP="00CE5C34">
      <w:pPr>
        <w:spacing w:after="0" w:line="240" w:lineRule="auto"/>
        <w:rPr>
          <w:b/>
          <w:u w:val="single"/>
        </w:rPr>
      </w:pPr>
      <w:r>
        <w:rPr>
          <w:b/>
        </w:rPr>
        <w:t>5</w:t>
      </w:r>
      <w:r w:rsidRPr="00A6079E">
        <w:rPr>
          <w:b/>
        </w:rPr>
        <w:t xml:space="preserve">.) </w:t>
      </w:r>
      <w:r>
        <w:rPr>
          <w:b/>
          <w:u w:val="single"/>
        </w:rPr>
        <w:t>Timeframe</w:t>
      </w:r>
      <w:r w:rsidR="00CE5C34">
        <w:rPr>
          <w:b/>
          <w:u w:val="single"/>
        </w:rPr>
        <w:t xml:space="preserve"> and opportunities to scale up improvement </w:t>
      </w:r>
    </w:p>
    <w:p w14:paraId="606F2C40" w14:textId="77777777" w:rsidR="00CE5C34" w:rsidRDefault="00CE5C34" w:rsidP="00CE5C34">
      <w:pPr>
        <w:spacing w:after="0" w:line="240" w:lineRule="auto"/>
        <w:rPr>
          <w:b/>
          <w:u w:val="single"/>
        </w:rPr>
      </w:pPr>
    </w:p>
    <w:p w14:paraId="6D9169DB" w14:textId="129D06D6" w:rsidR="00CE5C34" w:rsidRDefault="00CE5C34" w:rsidP="00CE5C34">
      <w:pPr>
        <w:spacing w:after="0" w:line="240" w:lineRule="auto"/>
      </w:pPr>
      <w:r>
        <w:t>Th</w:t>
      </w:r>
      <w:r w:rsidRPr="00CE5C34">
        <w:t xml:space="preserve">is </w:t>
      </w:r>
      <w:r w:rsidR="009E3C6A">
        <w:t>next phase</w:t>
      </w:r>
      <w:r>
        <w:t xml:space="preserve"> is being launched on 4</w:t>
      </w:r>
      <w:r w:rsidRPr="00CE5C34">
        <w:rPr>
          <w:vertAlign w:val="superscript"/>
        </w:rPr>
        <w:t>th</w:t>
      </w:r>
      <w:r>
        <w:t xml:space="preserve"> November, where wider </w:t>
      </w:r>
      <w:r w:rsidRPr="00A6079E">
        <w:t xml:space="preserve">partners </w:t>
      </w:r>
      <w:r>
        <w:t xml:space="preserve">will be invited </w:t>
      </w:r>
      <w:r w:rsidRPr="00A6079E">
        <w:t xml:space="preserve">to get involved in shaping and supporting this work. </w:t>
      </w:r>
      <w:r>
        <w:t xml:space="preserve">Between November 2019 and November 2020 our </w:t>
      </w:r>
      <w:r w:rsidR="00D91186">
        <w:t xml:space="preserve">Action Groups will regularly </w:t>
      </w:r>
      <w:r>
        <w:t>commun</w:t>
      </w:r>
      <w:r w:rsidR="00D91186">
        <w:t>icate</w:t>
      </w:r>
      <w:r>
        <w:t xml:space="preserve"> progress – including through re</w:t>
      </w:r>
      <w:r w:rsidR="00D91186">
        <w:t xml:space="preserve">gular Stakeholder Group updates. </w:t>
      </w:r>
    </w:p>
    <w:p w14:paraId="78737317" w14:textId="77777777" w:rsidR="00CE5C34" w:rsidRDefault="00CE5C34" w:rsidP="00CE5C34">
      <w:pPr>
        <w:spacing w:after="0" w:line="240" w:lineRule="auto"/>
      </w:pPr>
    </w:p>
    <w:p w14:paraId="3619DB27" w14:textId="44E595EB" w:rsidR="00CE5C34" w:rsidRDefault="00CE5C34" w:rsidP="00CE5C34">
      <w:pPr>
        <w:spacing w:after="0" w:line="240" w:lineRule="auto"/>
      </w:pPr>
      <w:r>
        <w:t xml:space="preserve">In November 2020 a conference will be held to report back on what has been achieved; what has been learned; what next steps will be taken to </w:t>
      </w:r>
      <w:r w:rsidR="00696515">
        <w:t>scale</w:t>
      </w:r>
      <w:r>
        <w:t xml:space="preserve"> up the approaches that have been effective. </w:t>
      </w:r>
    </w:p>
    <w:p w14:paraId="2A825AF5" w14:textId="77777777" w:rsidR="00CE5C34" w:rsidRDefault="00CE5C34" w:rsidP="00CE5C34">
      <w:pPr>
        <w:spacing w:after="0" w:line="240" w:lineRule="auto"/>
      </w:pPr>
    </w:p>
    <w:p w14:paraId="4D08D844" w14:textId="59455440" w:rsidR="00CE5C34" w:rsidRDefault="00CE5C34" w:rsidP="00CE5C34">
      <w:pPr>
        <w:spacing w:after="0" w:line="240" w:lineRule="auto"/>
      </w:pPr>
      <w:r>
        <w:t xml:space="preserve">We are aware that the National Institute for Health Research is planning to prioritise funding to better understand how to improve mental health and wellbeing in workplaces. We hope that this </w:t>
      </w:r>
      <w:r w:rsidR="00D91186">
        <w:t xml:space="preserve">project </w:t>
      </w:r>
      <w:r>
        <w:t>will make us well placed to apply for thi</w:t>
      </w:r>
      <w:r w:rsidR="00D91186">
        <w:t>s significant funding to us to scale up improvement.</w:t>
      </w:r>
    </w:p>
    <w:p w14:paraId="422ABD29" w14:textId="77777777" w:rsidR="00D91186" w:rsidRDefault="00D91186" w:rsidP="00CE5C34">
      <w:pPr>
        <w:spacing w:after="0" w:line="240" w:lineRule="auto"/>
        <w:rPr>
          <w:b/>
        </w:rPr>
      </w:pPr>
    </w:p>
    <w:p w14:paraId="49EA92E1" w14:textId="77777777" w:rsidR="00D91186" w:rsidRDefault="00D91186" w:rsidP="00CE5C34">
      <w:pPr>
        <w:spacing w:after="0" w:line="240" w:lineRule="auto"/>
        <w:rPr>
          <w:b/>
        </w:rPr>
      </w:pPr>
    </w:p>
    <w:p w14:paraId="4230CA31" w14:textId="2FD2026A" w:rsidR="001C5984" w:rsidRDefault="00D91186" w:rsidP="00CE5C34">
      <w:pPr>
        <w:spacing w:after="0" w:line="240" w:lineRule="auto"/>
      </w:pPr>
      <w:r>
        <w:rPr>
          <w:b/>
        </w:rPr>
        <w:t>6</w:t>
      </w:r>
      <w:r w:rsidR="00291267" w:rsidRPr="00291267">
        <w:rPr>
          <w:b/>
        </w:rPr>
        <w:t>.</w:t>
      </w:r>
      <w:r w:rsidR="00291267">
        <w:rPr>
          <w:b/>
        </w:rPr>
        <w:t>)</w:t>
      </w:r>
      <w:r w:rsidR="00291267">
        <w:t xml:space="preserve"> </w:t>
      </w:r>
      <w:r w:rsidR="00291267" w:rsidRPr="00291267">
        <w:rPr>
          <w:b/>
          <w:u w:val="single"/>
        </w:rPr>
        <w:t>Contact details</w:t>
      </w:r>
    </w:p>
    <w:p w14:paraId="00E6E463" w14:textId="77777777" w:rsidR="00C95B32" w:rsidRDefault="00C95B32" w:rsidP="00CE5C34">
      <w:pPr>
        <w:spacing w:after="0" w:line="240" w:lineRule="auto"/>
      </w:pPr>
    </w:p>
    <w:p w14:paraId="03BDDACB" w14:textId="0AA1C559" w:rsidR="004E1638" w:rsidRDefault="00B54464" w:rsidP="00CE5C34">
      <w:pPr>
        <w:spacing w:after="0" w:line="240" w:lineRule="auto"/>
      </w:pPr>
      <w:r>
        <w:t xml:space="preserve">For further information, </w:t>
      </w:r>
      <w:r w:rsidR="00C95B32">
        <w:t xml:space="preserve">please contact </w:t>
      </w:r>
      <w:r w:rsidR="004E1638">
        <w:t>Bristol Public Health leads:</w:t>
      </w:r>
    </w:p>
    <w:p w14:paraId="49BCFCCE" w14:textId="043967FF" w:rsidR="00B70BD7" w:rsidRPr="004C7E33" w:rsidRDefault="009E3C6A" w:rsidP="00CE5C34">
      <w:pPr>
        <w:spacing w:after="0" w:line="240" w:lineRule="auto"/>
      </w:pPr>
      <w:r>
        <w:t>Lynn Stanley:</w:t>
      </w:r>
      <w:r w:rsidR="00C95B32">
        <w:t xml:space="preserve"> </w:t>
      </w:r>
      <w:hyperlink r:id="rId15" w:history="1">
        <w:r w:rsidR="005C280C" w:rsidRPr="001509BE">
          <w:rPr>
            <w:rStyle w:val="Hyperlink"/>
          </w:rPr>
          <w:t>Lynn.Stanley@Bristol.gov.uk</w:t>
        </w:r>
      </w:hyperlink>
      <w:r w:rsidR="00C95B32">
        <w:t xml:space="preserve"> </w:t>
      </w:r>
      <w:r>
        <w:t xml:space="preserve"> and </w:t>
      </w:r>
      <w:r w:rsidR="004E1638">
        <w:t>Victoria Bleazard:</w:t>
      </w:r>
      <w:r w:rsidR="00C95B32">
        <w:t xml:space="preserve"> </w:t>
      </w:r>
      <w:hyperlink r:id="rId16" w:history="1">
        <w:r w:rsidR="00C95B32" w:rsidRPr="00A64B94">
          <w:rPr>
            <w:rStyle w:val="Hyperlink"/>
          </w:rPr>
          <w:t>Victoria.Bleazard@Bristol.gov.uk</w:t>
        </w:r>
      </w:hyperlink>
    </w:p>
    <w:sectPr w:rsidR="00B70BD7" w:rsidRPr="004C7E33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730F40" w15:done="0"/>
  <w15:commentEx w15:paraId="077670F9" w15:done="0"/>
  <w15:commentEx w15:paraId="5E2283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86A3A" w14:textId="77777777" w:rsidR="007714F8" w:rsidRDefault="007714F8" w:rsidP="001927C5">
      <w:pPr>
        <w:spacing w:after="0" w:line="240" w:lineRule="auto"/>
      </w:pPr>
      <w:r>
        <w:separator/>
      </w:r>
    </w:p>
  </w:endnote>
  <w:endnote w:type="continuationSeparator" w:id="0">
    <w:p w14:paraId="78C5F2E6" w14:textId="77777777" w:rsidR="007714F8" w:rsidRDefault="007714F8" w:rsidP="00192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OT-Light">
    <w:altName w:val="MetaOT-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8090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6F4753" w14:textId="1C6E1476" w:rsidR="00926551" w:rsidRDefault="009265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5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100DCD" w14:textId="77777777" w:rsidR="00926551" w:rsidRDefault="009265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E1E75" w14:textId="77777777" w:rsidR="007714F8" w:rsidRDefault="007714F8" w:rsidP="001927C5">
      <w:pPr>
        <w:spacing w:after="0" w:line="240" w:lineRule="auto"/>
      </w:pPr>
      <w:r>
        <w:separator/>
      </w:r>
    </w:p>
  </w:footnote>
  <w:footnote w:type="continuationSeparator" w:id="0">
    <w:p w14:paraId="6B29FAF8" w14:textId="77777777" w:rsidR="007714F8" w:rsidRDefault="007714F8" w:rsidP="001927C5">
      <w:pPr>
        <w:spacing w:after="0" w:line="240" w:lineRule="auto"/>
      </w:pPr>
      <w:r>
        <w:continuationSeparator/>
      </w:r>
    </w:p>
  </w:footnote>
  <w:footnote w:id="1">
    <w:p w14:paraId="3E5E3507" w14:textId="7ED7C288" w:rsidR="00926551" w:rsidRDefault="00926551">
      <w:pPr>
        <w:pStyle w:val="FootnoteText"/>
      </w:pPr>
      <w:r w:rsidRPr="004C7E33">
        <w:rPr>
          <w:rStyle w:val="FootnoteReference"/>
          <w:sz w:val="18"/>
        </w:rPr>
        <w:footnoteRef/>
      </w:r>
      <w:r w:rsidRPr="004C7E33">
        <w:rPr>
          <w:sz w:val="18"/>
        </w:rPr>
        <w:t xml:space="preserve"> Stevenson D, Farmer P (2017), Thriving at Work The Stevenson /Farmer review of mental health and employers. Available at: www.gov.uk/government/publications/thriving-at-work-a-review-of-mental-health-and-employers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6D4"/>
    <w:multiLevelType w:val="multilevel"/>
    <w:tmpl w:val="496875D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9301551"/>
    <w:multiLevelType w:val="hybridMultilevel"/>
    <w:tmpl w:val="0562CDF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1F7825"/>
    <w:multiLevelType w:val="hybridMultilevel"/>
    <w:tmpl w:val="108E5D70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CA1097"/>
    <w:multiLevelType w:val="hybridMultilevel"/>
    <w:tmpl w:val="2B46885E"/>
    <w:lvl w:ilvl="0" w:tplc="F0CA223E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F36CA6"/>
    <w:multiLevelType w:val="hybridMultilevel"/>
    <w:tmpl w:val="089C89A0"/>
    <w:lvl w:ilvl="0" w:tplc="2C3C54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C45F8"/>
    <w:multiLevelType w:val="hybridMultilevel"/>
    <w:tmpl w:val="3CEA394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056A0"/>
    <w:multiLevelType w:val="hybridMultilevel"/>
    <w:tmpl w:val="153AC6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30E2C"/>
    <w:multiLevelType w:val="multilevel"/>
    <w:tmpl w:val="CC1C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413B0F"/>
    <w:multiLevelType w:val="hybridMultilevel"/>
    <w:tmpl w:val="4584708C"/>
    <w:lvl w:ilvl="0" w:tplc="D6E460F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D6443"/>
    <w:multiLevelType w:val="hybridMultilevel"/>
    <w:tmpl w:val="6CBA73EE"/>
    <w:lvl w:ilvl="0" w:tplc="65E6C87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95AA4"/>
    <w:multiLevelType w:val="hybridMultilevel"/>
    <w:tmpl w:val="0916FE4C"/>
    <w:lvl w:ilvl="0" w:tplc="99E46D9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E4D4A"/>
    <w:multiLevelType w:val="hybridMultilevel"/>
    <w:tmpl w:val="633A27A0"/>
    <w:lvl w:ilvl="0" w:tplc="088AF5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77916"/>
    <w:multiLevelType w:val="hybridMultilevel"/>
    <w:tmpl w:val="425C3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D3380"/>
    <w:multiLevelType w:val="hybridMultilevel"/>
    <w:tmpl w:val="03B23A54"/>
    <w:lvl w:ilvl="0" w:tplc="65E6C87C">
      <w:start w:val="9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292AFB"/>
    <w:multiLevelType w:val="hybridMultilevel"/>
    <w:tmpl w:val="5E16E25A"/>
    <w:lvl w:ilvl="0" w:tplc="98D6B0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A735D"/>
    <w:multiLevelType w:val="hybridMultilevel"/>
    <w:tmpl w:val="5248F558"/>
    <w:lvl w:ilvl="0" w:tplc="820694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095532"/>
    <w:multiLevelType w:val="hybridMultilevel"/>
    <w:tmpl w:val="678A8526"/>
    <w:lvl w:ilvl="0" w:tplc="A00A29D6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B4678"/>
    <w:multiLevelType w:val="hybridMultilevel"/>
    <w:tmpl w:val="7C706B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444410"/>
    <w:multiLevelType w:val="hybridMultilevel"/>
    <w:tmpl w:val="8DBA7AC6"/>
    <w:lvl w:ilvl="0" w:tplc="0D409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23B8A"/>
    <w:multiLevelType w:val="hybridMultilevel"/>
    <w:tmpl w:val="9B602622"/>
    <w:lvl w:ilvl="0" w:tplc="B02632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75217"/>
    <w:multiLevelType w:val="hybridMultilevel"/>
    <w:tmpl w:val="352AF79A"/>
    <w:lvl w:ilvl="0" w:tplc="5FBAE870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821EB"/>
    <w:multiLevelType w:val="hybridMultilevel"/>
    <w:tmpl w:val="E614460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9650C"/>
    <w:multiLevelType w:val="hybridMultilevel"/>
    <w:tmpl w:val="B30AF83C"/>
    <w:lvl w:ilvl="0" w:tplc="C9462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20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527F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0B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26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1207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E5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AEC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0E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7F34ED3"/>
    <w:multiLevelType w:val="hybridMultilevel"/>
    <w:tmpl w:val="6BCABA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D5238E"/>
    <w:multiLevelType w:val="hybridMultilevel"/>
    <w:tmpl w:val="91308408"/>
    <w:lvl w:ilvl="0" w:tplc="8670E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D0E8FE">
      <w:start w:val="4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AD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ECB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5EF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6F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7A6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AAF1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C2E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98C2658"/>
    <w:multiLevelType w:val="hybridMultilevel"/>
    <w:tmpl w:val="7BDC07DE"/>
    <w:lvl w:ilvl="0" w:tplc="29C01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505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4A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43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9A3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01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AE7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086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DE2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5A3739EB"/>
    <w:multiLevelType w:val="hybridMultilevel"/>
    <w:tmpl w:val="DEA6FFF2"/>
    <w:lvl w:ilvl="0" w:tplc="69CAD4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FA6FB2"/>
    <w:multiLevelType w:val="hybridMultilevel"/>
    <w:tmpl w:val="AFE8D4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9A37A7"/>
    <w:multiLevelType w:val="hybridMultilevel"/>
    <w:tmpl w:val="1E28323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3272C06"/>
    <w:multiLevelType w:val="hybridMultilevel"/>
    <w:tmpl w:val="1AE4F0F0"/>
    <w:lvl w:ilvl="0" w:tplc="D6E460FE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17103F"/>
    <w:multiLevelType w:val="hybridMultilevel"/>
    <w:tmpl w:val="EF94B214"/>
    <w:lvl w:ilvl="0" w:tplc="65E6C87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41D6C"/>
    <w:multiLevelType w:val="hybridMultilevel"/>
    <w:tmpl w:val="3140ABB4"/>
    <w:lvl w:ilvl="0" w:tplc="E804A1B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88252A"/>
    <w:multiLevelType w:val="hybridMultilevel"/>
    <w:tmpl w:val="2540629C"/>
    <w:lvl w:ilvl="0" w:tplc="B30A1E7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0"/>
  </w:num>
  <w:num w:numId="5">
    <w:abstractNumId w:val="31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7"/>
  </w:num>
  <w:num w:numId="10">
    <w:abstractNumId w:val="26"/>
  </w:num>
  <w:num w:numId="11">
    <w:abstractNumId w:val="17"/>
  </w:num>
  <w:num w:numId="12">
    <w:abstractNumId w:val="2"/>
  </w:num>
  <w:num w:numId="13">
    <w:abstractNumId w:val="23"/>
  </w:num>
  <w:num w:numId="14">
    <w:abstractNumId w:val="28"/>
  </w:num>
  <w:num w:numId="15">
    <w:abstractNumId w:val="14"/>
  </w:num>
  <w:num w:numId="16">
    <w:abstractNumId w:val="16"/>
  </w:num>
  <w:num w:numId="17">
    <w:abstractNumId w:val="24"/>
  </w:num>
  <w:num w:numId="18">
    <w:abstractNumId w:val="30"/>
  </w:num>
  <w:num w:numId="19">
    <w:abstractNumId w:val="1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3"/>
  </w:num>
  <w:num w:numId="23">
    <w:abstractNumId w:val="6"/>
  </w:num>
  <w:num w:numId="24">
    <w:abstractNumId w:val="1"/>
  </w:num>
  <w:num w:numId="25">
    <w:abstractNumId w:val="21"/>
  </w:num>
  <w:num w:numId="26">
    <w:abstractNumId w:val="18"/>
  </w:num>
  <w:num w:numId="27">
    <w:abstractNumId w:val="9"/>
  </w:num>
  <w:num w:numId="28">
    <w:abstractNumId w:val="5"/>
  </w:num>
  <w:num w:numId="29">
    <w:abstractNumId w:val="13"/>
  </w:num>
  <w:num w:numId="30">
    <w:abstractNumId w:val="0"/>
  </w:num>
  <w:num w:numId="31">
    <w:abstractNumId w:val="13"/>
  </w:num>
  <w:num w:numId="32">
    <w:abstractNumId w:val="15"/>
  </w:num>
  <w:num w:numId="33">
    <w:abstractNumId w:val="22"/>
  </w:num>
  <w:num w:numId="34">
    <w:abstractNumId w:val="25"/>
  </w:num>
  <w:num w:numId="35">
    <w:abstractNumId w:val="4"/>
  </w:num>
  <w:num w:numId="36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owell, Adam JC (UK - Bristol) [2]">
    <w15:presenceInfo w15:providerId="AD" w15:userId="S-1-5-21-83642069-1626958306-390482200-325710"/>
  </w15:person>
  <w15:person w15:author="Powell, Adam JC (UK - Bristol)">
    <w15:presenceInfo w15:providerId="AD" w15:userId="S-1-5-21-83642069-1626958306-390482200-3257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0B"/>
    <w:rsid w:val="00012489"/>
    <w:rsid w:val="00020623"/>
    <w:rsid w:val="00021550"/>
    <w:rsid w:val="0002580D"/>
    <w:rsid w:val="000302B5"/>
    <w:rsid w:val="00033010"/>
    <w:rsid w:val="00035E82"/>
    <w:rsid w:val="00040309"/>
    <w:rsid w:val="000460D3"/>
    <w:rsid w:val="00046179"/>
    <w:rsid w:val="00050CF7"/>
    <w:rsid w:val="00052944"/>
    <w:rsid w:val="00067F3F"/>
    <w:rsid w:val="000705E3"/>
    <w:rsid w:val="00096677"/>
    <w:rsid w:val="000B1029"/>
    <w:rsid w:val="000B65E1"/>
    <w:rsid w:val="000D34BB"/>
    <w:rsid w:val="000F67D7"/>
    <w:rsid w:val="0011671A"/>
    <w:rsid w:val="0012315B"/>
    <w:rsid w:val="00141848"/>
    <w:rsid w:val="00145C0B"/>
    <w:rsid w:val="00180360"/>
    <w:rsid w:val="001927C5"/>
    <w:rsid w:val="001B27F7"/>
    <w:rsid w:val="001C3412"/>
    <w:rsid w:val="001C3F7F"/>
    <w:rsid w:val="001C5984"/>
    <w:rsid w:val="001C74BA"/>
    <w:rsid w:val="001E1A29"/>
    <w:rsid w:val="001E67FA"/>
    <w:rsid w:val="001F0200"/>
    <w:rsid w:val="00222B3B"/>
    <w:rsid w:val="002302FF"/>
    <w:rsid w:val="00233F5D"/>
    <w:rsid w:val="002757C5"/>
    <w:rsid w:val="00281A6B"/>
    <w:rsid w:val="00291267"/>
    <w:rsid w:val="0029432E"/>
    <w:rsid w:val="002B4875"/>
    <w:rsid w:val="002B6C61"/>
    <w:rsid w:val="002E4BDC"/>
    <w:rsid w:val="002F6CAA"/>
    <w:rsid w:val="002F6FB7"/>
    <w:rsid w:val="00324080"/>
    <w:rsid w:val="00332B55"/>
    <w:rsid w:val="0035408E"/>
    <w:rsid w:val="00372988"/>
    <w:rsid w:val="00384D74"/>
    <w:rsid w:val="00390E26"/>
    <w:rsid w:val="00392634"/>
    <w:rsid w:val="003A00DE"/>
    <w:rsid w:val="003C422A"/>
    <w:rsid w:val="003C46B3"/>
    <w:rsid w:val="004119CA"/>
    <w:rsid w:val="00414065"/>
    <w:rsid w:val="004171E1"/>
    <w:rsid w:val="00417E88"/>
    <w:rsid w:val="00426800"/>
    <w:rsid w:val="004307F4"/>
    <w:rsid w:val="0043356D"/>
    <w:rsid w:val="00436D41"/>
    <w:rsid w:val="004413BF"/>
    <w:rsid w:val="00445F4D"/>
    <w:rsid w:val="00460177"/>
    <w:rsid w:val="00481973"/>
    <w:rsid w:val="004820E2"/>
    <w:rsid w:val="0048647D"/>
    <w:rsid w:val="00494867"/>
    <w:rsid w:val="004A5A52"/>
    <w:rsid w:val="004C7E33"/>
    <w:rsid w:val="004E1638"/>
    <w:rsid w:val="004E7C13"/>
    <w:rsid w:val="005137C9"/>
    <w:rsid w:val="00546552"/>
    <w:rsid w:val="005523A3"/>
    <w:rsid w:val="00560C0B"/>
    <w:rsid w:val="005632A0"/>
    <w:rsid w:val="00567816"/>
    <w:rsid w:val="00586F3A"/>
    <w:rsid w:val="005A48C7"/>
    <w:rsid w:val="005A609E"/>
    <w:rsid w:val="005B38F1"/>
    <w:rsid w:val="005C280C"/>
    <w:rsid w:val="005C53DA"/>
    <w:rsid w:val="005C7515"/>
    <w:rsid w:val="005D407E"/>
    <w:rsid w:val="005D7A10"/>
    <w:rsid w:val="005F5E9D"/>
    <w:rsid w:val="00625D87"/>
    <w:rsid w:val="00627471"/>
    <w:rsid w:val="00631E99"/>
    <w:rsid w:val="006412B9"/>
    <w:rsid w:val="00650606"/>
    <w:rsid w:val="00654C67"/>
    <w:rsid w:val="00656FF5"/>
    <w:rsid w:val="00670AEB"/>
    <w:rsid w:val="00672883"/>
    <w:rsid w:val="00674874"/>
    <w:rsid w:val="006811D6"/>
    <w:rsid w:val="00694EBD"/>
    <w:rsid w:val="006962F2"/>
    <w:rsid w:val="00696515"/>
    <w:rsid w:val="006A6B95"/>
    <w:rsid w:val="006B73CA"/>
    <w:rsid w:val="006C63FD"/>
    <w:rsid w:val="006E3A1E"/>
    <w:rsid w:val="00706D3C"/>
    <w:rsid w:val="007260AB"/>
    <w:rsid w:val="00730B42"/>
    <w:rsid w:val="00765513"/>
    <w:rsid w:val="007714F8"/>
    <w:rsid w:val="00774A5F"/>
    <w:rsid w:val="007B22B8"/>
    <w:rsid w:val="007C58FB"/>
    <w:rsid w:val="007E57D4"/>
    <w:rsid w:val="0081054C"/>
    <w:rsid w:val="008109D0"/>
    <w:rsid w:val="008113B1"/>
    <w:rsid w:val="00814BCD"/>
    <w:rsid w:val="00825E45"/>
    <w:rsid w:val="00825F78"/>
    <w:rsid w:val="00850ED3"/>
    <w:rsid w:val="00852EFF"/>
    <w:rsid w:val="0085685F"/>
    <w:rsid w:val="00857710"/>
    <w:rsid w:val="00857C06"/>
    <w:rsid w:val="0088026B"/>
    <w:rsid w:val="00883169"/>
    <w:rsid w:val="00890528"/>
    <w:rsid w:val="008A1A2C"/>
    <w:rsid w:val="008B2414"/>
    <w:rsid w:val="008C0B45"/>
    <w:rsid w:val="008C6CB4"/>
    <w:rsid w:val="008D4B1A"/>
    <w:rsid w:val="008F5E76"/>
    <w:rsid w:val="009103FD"/>
    <w:rsid w:val="00921CB7"/>
    <w:rsid w:val="00921F8F"/>
    <w:rsid w:val="00926551"/>
    <w:rsid w:val="00937E7E"/>
    <w:rsid w:val="0096246F"/>
    <w:rsid w:val="0096655F"/>
    <w:rsid w:val="00971391"/>
    <w:rsid w:val="00987A18"/>
    <w:rsid w:val="009A48FB"/>
    <w:rsid w:val="009A5B12"/>
    <w:rsid w:val="009A5C6D"/>
    <w:rsid w:val="009B279C"/>
    <w:rsid w:val="009E3C6A"/>
    <w:rsid w:val="009F173F"/>
    <w:rsid w:val="00A37A79"/>
    <w:rsid w:val="00A427EA"/>
    <w:rsid w:val="00A479C4"/>
    <w:rsid w:val="00A67A04"/>
    <w:rsid w:val="00A71BC7"/>
    <w:rsid w:val="00A75732"/>
    <w:rsid w:val="00A848AF"/>
    <w:rsid w:val="00A90A7B"/>
    <w:rsid w:val="00A97378"/>
    <w:rsid w:val="00AA4B51"/>
    <w:rsid w:val="00AC5127"/>
    <w:rsid w:val="00AC7898"/>
    <w:rsid w:val="00AD645B"/>
    <w:rsid w:val="00AF2FF6"/>
    <w:rsid w:val="00AF3D9E"/>
    <w:rsid w:val="00AF6F91"/>
    <w:rsid w:val="00B05295"/>
    <w:rsid w:val="00B05591"/>
    <w:rsid w:val="00B159BE"/>
    <w:rsid w:val="00B20E01"/>
    <w:rsid w:val="00B35552"/>
    <w:rsid w:val="00B40BCF"/>
    <w:rsid w:val="00B42080"/>
    <w:rsid w:val="00B52EC0"/>
    <w:rsid w:val="00B54464"/>
    <w:rsid w:val="00B561F7"/>
    <w:rsid w:val="00B56ACB"/>
    <w:rsid w:val="00B64195"/>
    <w:rsid w:val="00B64B92"/>
    <w:rsid w:val="00B70BD7"/>
    <w:rsid w:val="00B7108C"/>
    <w:rsid w:val="00B87E0D"/>
    <w:rsid w:val="00B96EFC"/>
    <w:rsid w:val="00BB2839"/>
    <w:rsid w:val="00BE1D32"/>
    <w:rsid w:val="00BE1E63"/>
    <w:rsid w:val="00BE4247"/>
    <w:rsid w:val="00BF0EA2"/>
    <w:rsid w:val="00C07A5B"/>
    <w:rsid w:val="00C132F0"/>
    <w:rsid w:val="00C24D61"/>
    <w:rsid w:val="00C312EE"/>
    <w:rsid w:val="00C476AC"/>
    <w:rsid w:val="00C57747"/>
    <w:rsid w:val="00C60440"/>
    <w:rsid w:val="00C772A1"/>
    <w:rsid w:val="00C8042C"/>
    <w:rsid w:val="00C95B32"/>
    <w:rsid w:val="00CA1342"/>
    <w:rsid w:val="00CA13CC"/>
    <w:rsid w:val="00CC56E0"/>
    <w:rsid w:val="00CE5C34"/>
    <w:rsid w:val="00D24E97"/>
    <w:rsid w:val="00D44405"/>
    <w:rsid w:val="00D517D3"/>
    <w:rsid w:val="00D54578"/>
    <w:rsid w:val="00D76E66"/>
    <w:rsid w:val="00D81EBA"/>
    <w:rsid w:val="00D91186"/>
    <w:rsid w:val="00D97999"/>
    <w:rsid w:val="00DC442C"/>
    <w:rsid w:val="00DE16FE"/>
    <w:rsid w:val="00DF6AB0"/>
    <w:rsid w:val="00E22D3B"/>
    <w:rsid w:val="00E30BCD"/>
    <w:rsid w:val="00E4249C"/>
    <w:rsid w:val="00E546DC"/>
    <w:rsid w:val="00E70441"/>
    <w:rsid w:val="00E87E99"/>
    <w:rsid w:val="00E97336"/>
    <w:rsid w:val="00EA120B"/>
    <w:rsid w:val="00EB3393"/>
    <w:rsid w:val="00ED79D5"/>
    <w:rsid w:val="00F1347C"/>
    <w:rsid w:val="00F14208"/>
    <w:rsid w:val="00F25A11"/>
    <w:rsid w:val="00F3082F"/>
    <w:rsid w:val="00F50D76"/>
    <w:rsid w:val="00F5250B"/>
    <w:rsid w:val="00F66A8B"/>
    <w:rsid w:val="00F776E9"/>
    <w:rsid w:val="00F77859"/>
    <w:rsid w:val="00F87931"/>
    <w:rsid w:val="00FB248F"/>
    <w:rsid w:val="00FB7308"/>
    <w:rsid w:val="00FC3115"/>
    <w:rsid w:val="00FD1410"/>
    <w:rsid w:val="00FD26F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6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035E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A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C789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EA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7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7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7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14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208"/>
  </w:style>
  <w:style w:type="paragraph" w:styleId="Footer">
    <w:name w:val="footer"/>
    <w:basedOn w:val="Normal"/>
    <w:link w:val="FooterChar"/>
    <w:uiPriority w:val="99"/>
    <w:unhideWhenUsed/>
    <w:rsid w:val="00F14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208"/>
  </w:style>
  <w:style w:type="character" w:styleId="CommentReference">
    <w:name w:val="annotation reference"/>
    <w:basedOn w:val="DefaultParagraphFont"/>
    <w:uiPriority w:val="99"/>
    <w:semiHidden/>
    <w:unhideWhenUsed/>
    <w:rsid w:val="00921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F8F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23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23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23A3"/>
    <w:rPr>
      <w:vertAlign w:val="superscript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B70BD7"/>
  </w:style>
  <w:style w:type="paragraph" w:styleId="NormalWeb">
    <w:name w:val="Normal (Web)"/>
    <w:basedOn w:val="Normal"/>
    <w:uiPriority w:val="99"/>
    <w:semiHidden/>
    <w:unhideWhenUsed/>
    <w:rsid w:val="0077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C5984"/>
    <w:pPr>
      <w:autoSpaceDE w:val="0"/>
      <w:autoSpaceDN w:val="0"/>
      <w:adjustRightInd w:val="0"/>
      <w:spacing w:after="0" w:line="240" w:lineRule="auto"/>
    </w:pPr>
    <w:rPr>
      <w:rFonts w:ascii="MetaOT-Light" w:hAnsi="MetaOT-Light" w:cs="MetaOT-Ligh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C59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C59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12,Bullet Style,List Paragraph2,Normal numbered"/>
    <w:basedOn w:val="Normal"/>
    <w:link w:val="ListParagraphChar"/>
    <w:uiPriority w:val="34"/>
    <w:qFormat/>
    <w:rsid w:val="00035E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3A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C789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EA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7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7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7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14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208"/>
  </w:style>
  <w:style w:type="paragraph" w:styleId="Footer">
    <w:name w:val="footer"/>
    <w:basedOn w:val="Normal"/>
    <w:link w:val="FooterChar"/>
    <w:uiPriority w:val="99"/>
    <w:unhideWhenUsed/>
    <w:rsid w:val="00F142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208"/>
  </w:style>
  <w:style w:type="character" w:styleId="CommentReference">
    <w:name w:val="annotation reference"/>
    <w:basedOn w:val="DefaultParagraphFont"/>
    <w:uiPriority w:val="99"/>
    <w:semiHidden/>
    <w:unhideWhenUsed/>
    <w:rsid w:val="00921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F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F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F8F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23A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23A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23A3"/>
    <w:rPr>
      <w:vertAlign w:val="superscript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B70BD7"/>
  </w:style>
  <w:style w:type="paragraph" w:styleId="NormalWeb">
    <w:name w:val="Normal (Web)"/>
    <w:basedOn w:val="Normal"/>
    <w:uiPriority w:val="99"/>
    <w:semiHidden/>
    <w:unhideWhenUsed/>
    <w:rsid w:val="0077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C5984"/>
    <w:pPr>
      <w:autoSpaceDE w:val="0"/>
      <w:autoSpaceDN w:val="0"/>
      <w:adjustRightInd w:val="0"/>
      <w:spacing w:after="0" w:line="240" w:lineRule="auto"/>
    </w:pPr>
    <w:rPr>
      <w:rFonts w:ascii="MetaOT-Light" w:hAnsi="MetaOT-Light" w:cs="MetaOT-Light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C598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C59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6966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095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4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7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8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mailto:Victoria.Bleazard@Bristol.gov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mailto:Lynn.Stanley@Bristol.gov.uk" TargetMode="External"/><Relationship Id="rId23" Type="http://schemas.openxmlformats.org/officeDocument/2006/relationships/customXml" Target="../customXml/item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3C3F745F1DC498D7265F5FCE6F801" ma:contentTypeVersion="16" ma:contentTypeDescription="Create a new document." ma:contentTypeScope="" ma:versionID="b7c1d096da9d1360df0d42d24b2ef7ac">
  <xsd:schema xmlns:xsd="http://www.w3.org/2001/XMLSchema" xmlns:xs="http://www.w3.org/2001/XMLSchema" xmlns:p="http://schemas.microsoft.com/office/2006/metadata/properties" xmlns:ns2="e7d3a23e-2b19-45c2-b29e-bdecff3c7e90" xmlns:ns3="d189baa1-247b-4b74-b196-25d690a30ea7" targetNamespace="http://schemas.microsoft.com/office/2006/metadata/properties" ma:root="true" ma:fieldsID="f228cb84a8e1fd4c6b3e6d6d43f21ef9" ns2:_="" ns3:_="">
    <xsd:import namespace="e7d3a23e-2b19-45c2-b29e-bdecff3c7e90"/>
    <xsd:import namespace="d189baa1-247b-4b74-b196-25d690a30e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KeywordTaxHTField" minOccurs="0"/>
                <xsd:element ref="ns3:TaxCatchAll" minOccurs="0"/>
                <xsd:element ref="ns2:Size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a23e-2b19-45c2-b29e-bdecff3c7e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ize" ma:index="19" nillable="true" ma:displayName="Size" ma:list="{fe17cf3e-fe91-4906-aa73-1ef410c65928}" ma:internalName="Size" ma:showField="Title">
      <xsd:simpleType>
        <xsd:restriction base="dms:Lookup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9baa1-247b-4b74-b196-25d690a30ea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ecf50c9d-bc8f-48ed-ba3c-7168a5cdc8d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d545c9f4-704d-444a-ba4a-a30472508039}" ma:internalName="TaxCatchAll" ma:showField="CatchAllData" ma:web="d189baa1-247b-4b74-b196-25d690a30e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e7d3a23e-2b19-45c2-b29e-bdecff3c7e90" xsi:nil="true"/>
    <TaxCatchAll xmlns="d189baa1-247b-4b74-b196-25d690a30ea7"/>
    <TaxKeywordTaxHTField xmlns="d189baa1-247b-4b74-b196-25d690a30ea7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BBD57F37-8904-496F-90B8-79B580CD1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F437A2-56DA-4151-B7C2-1C87DECE40CE}"/>
</file>

<file path=customXml/itemProps3.xml><?xml version="1.0" encoding="utf-8"?>
<ds:datastoreItem xmlns:ds="http://schemas.openxmlformats.org/officeDocument/2006/customXml" ds:itemID="{1FD13FB5-E7B9-48DB-A52E-124B1F32E233}"/>
</file>

<file path=customXml/itemProps4.xml><?xml version="1.0" encoding="utf-8"?>
<ds:datastoreItem xmlns:ds="http://schemas.openxmlformats.org/officeDocument/2006/customXml" ds:itemID="{0CC685BF-38C2-40F8-B26A-151A8810A2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1541</Words>
  <Characters>8784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Bleazard</dc:creator>
  <cp:lastModifiedBy>Lynn Stanley</cp:lastModifiedBy>
  <cp:revision>2</cp:revision>
  <dcterms:created xsi:type="dcterms:W3CDTF">2019-11-07T09:30:00Z</dcterms:created>
  <dcterms:modified xsi:type="dcterms:W3CDTF">2019-11-07T09:30:00Z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0x01010094F3C3F745F1DC498D7265F5FCE6F801</vt:lpwstr>
  </property>
  <property fmtid="{D5CDD505-2E9C-101B-9397-08002B2CF9AE}" pid="3" name="TaxKeyword">
    <vt:lpwstr/>
  </property>
</Properties>
</file>